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0" w:rsidRDefault="00477F83" w:rsidP="00477F83">
      <w:pPr>
        <w:jc w:val="center"/>
        <w:rPr>
          <w:rFonts w:ascii="Calibri" w:hAnsi="Calibri"/>
          <w:b/>
          <w:sz w:val="28"/>
        </w:rPr>
      </w:pPr>
      <w:r w:rsidRPr="00E35983">
        <w:rPr>
          <w:rFonts w:ascii="Calibri" w:hAnsi="Calibri"/>
          <w:b/>
          <w:sz w:val="28"/>
        </w:rPr>
        <w:t>四川水井坊股份有限公司</w:t>
      </w:r>
    </w:p>
    <w:p w:rsidR="00C32F1D" w:rsidRPr="00E35983" w:rsidRDefault="00477F83" w:rsidP="00477F83">
      <w:pPr>
        <w:jc w:val="center"/>
        <w:rPr>
          <w:rFonts w:ascii="Calibri" w:hAnsi="Calibri"/>
          <w:b/>
          <w:sz w:val="28"/>
        </w:rPr>
      </w:pPr>
      <w:r w:rsidRPr="00E35983">
        <w:rPr>
          <w:rFonts w:ascii="Calibri" w:hAnsi="Calibri"/>
          <w:b/>
          <w:sz w:val="28"/>
        </w:rPr>
        <w:t>投资者交流会纪要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2D6B" w:rsidRPr="00E35983" w:rsidTr="00BB7198">
        <w:trPr>
          <w:trHeight w:val="454"/>
        </w:trPr>
        <w:tc>
          <w:tcPr>
            <w:tcW w:w="4261" w:type="dxa"/>
          </w:tcPr>
          <w:p w:rsidR="00E32D6B" w:rsidRPr="00E35983" w:rsidRDefault="00E32D6B" w:rsidP="00E32D6B"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 w:rsidRPr="00E35983">
              <w:rPr>
                <w:rFonts w:ascii="Calibri" w:hAnsi="Calibri"/>
                <w:b/>
                <w:sz w:val="24"/>
              </w:rPr>
              <w:t>日期：</w:t>
            </w:r>
            <w:r w:rsidRPr="00E35983">
              <w:rPr>
                <w:rFonts w:ascii="Calibri" w:hAnsi="Calibri"/>
                <w:sz w:val="24"/>
              </w:rPr>
              <w:t>2017</w:t>
            </w:r>
            <w:r w:rsidRPr="00E35983">
              <w:rPr>
                <w:rFonts w:ascii="Calibri" w:hAnsi="Calibri"/>
                <w:sz w:val="24"/>
              </w:rPr>
              <w:t>年</w:t>
            </w:r>
            <w:r w:rsidRPr="00E35983">
              <w:rPr>
                <w:rFonts w:ascii="Calibri" w:hAnsi="Calibri"/>
                <w:sz w:val="24"/>
              </w:rPr>
              <w:t>4</w:t>
            </w:r>
            <w:r w:rsidRPr="00E35983">
              <w:rPr>
                <w:rFonts w:ascii="Calibri" w:hAnsi="Calibri"/>
                <w:sz w:val="24"/>
              </w:rPr>
              <w:t>月</w:t>
            </w:r>
            <w:r w:rsidRPr="00E35983">
              <w:rPr>
                <w:rFonts w:ascii="Calibri" w:hAnsi="Calibri"/>
                <w:sz w:val="24"/>
              </w:rPr>
              <w:t>29</w:t>
            </w:r>
            <w:r w:rsidRPr="00E35983">
              <w:rPr>
                <w:rFonts w:ascii="Calibri" w:hAnsi="Calibri"/>
                <w:sz w:val="24"/>
              </w:rPr>
              <w:t>日</w:t>
            </w:r>
          </w:p>
        </w:tc>
        <w:tc>
          <w:tcPr>
            <w:tcW w:w="4261" w:type="dxa"/>
          </w:tcPr>
          <w:p w:rsidR="00E32D6B" w:rsidRPr="00E35983" w:rsidRDefault="00E32D6B" w:rsidP="00E32D6B"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 w:rsidRPr="00E35983">
              <w:rPr>
                <w:rFonts w:ascii="Calibri" w:hAnsi="Calibri"/>
                <w:b/>
                <w:sz w:val="24"/>
              </w:rPr>
              <w:t>时间</w:t>
            </w:r>
            <w:r w:rsidRPr="00E35983">
              <w:rPr>
                <w:rFonts w:ascii="Calibri" w:hAnsi="Calibri"/>
                <w:sz w:val="24"/>
              </w:rPr>
              <w:t>：</w:t>
            </w:r>
            <w:r w:rsidR="00673130">
              <w:rPr>
                <w:rFonts w:ascii="Calibri" w:hAnsi="Calibri"/>
                <w:sz w:val="24"/>
              </w:rPr>
              <w:t>10:00-1</w:t>
            </w:r>
            <w:r w:rsidR="00673130">
              <w:rPr>
                <w:rFonts w:ascii="Calibri" w:hAnsi="Calibri" w:hint="eastAsia"/>
                <w:sz w:val="24"/>
              </w:rPr>
              <w:t>2</w:t>
            </w:r>
            <w:r w:rsidRPr="00E35983">
              <w:rPr>
                <w:rFonts w:ascii="Calibri" w:hAnsi="Calibri"/>
                <w:sz w:val="24"/>
              </w:rPr>
              <w:t>:00</w:t>
            </w:r>
          </w:p>
        </w:tc>
      </w:tr>
      <w:tr w:rsidR="00E32D6B" w:rsidRPr="00E35983" w:rsidTr="00BB7198">
        <w:trPr>
          <w:trHeight w:val="454"/>
        </w:trPr>
        <w:tc>
          <w:tcPr>
            <w:tcW w:w="8522" w:type="dxa"/>
            <w:gridSpan w:val="2"/>
          </w:tcPr>
          <w:p w:rsidR="00E32D6B" w:rsidRPr="00E35983" w:rsidRDefault="00E32D6B" w:rsidP="00E32D6B">
            <w:pPr>
              <w:tabs>
                <w:tab w:val="left" w:pos="1228"/>
              </w:tabs>
              <w:spacing w:line="360" w:lineRule="auto"/>
              <w:rPr>
                <w:rFonts w:ascii="Calibri" w:hAnsi="Calibri"/>
                <w:sz w:val="24"/>
              </w:rPr>
            </w:pPr>
            <w:r w:rsidRPr="00E35983">
              <w:rPr>
                <w:rFonts w:ascii="Calibri" w:hAnsi="Calibri"/>
                <w:b/>
                <w:sz w:val="24"/>
              </w:rPr>
              <w:t>地点：</w:t>
            </w:r>
            <w:r w:rsidRPr="00E35983">
              <w:rPr>
                <w:rFonts w:ascii="Calibri" w:hAnsi="Calibri"/>
                <w:sz w:val="24"/>
              </w:rPr>
              <w:t>四川水井坊股份有限公司</w:t>
            </w:r>
            <w:r w:rsidR="00673130">
              <w:rPr>
                <w:rFonts w:ascii="Calibri" w:hAnsi="Calibri" w:hint="eastAsia"/>
                <w:sz w:val="24"/>
              </w:rPr>
              <w:t>五楼会议室</w:t>
            </w:r>
          </w:p>
        </w:tc>
      </w:tr>
      <w:tr w:rsidR="00E32D6B" w:rsidRPr="00E35983" w:rsidTr="00BB7198">
        <w:trPr>
          <w:trHeight w:val="454"/>
        </w:trPr>
        <w:tc>
          <w:tcPr>
            <w:tcW w:w="8522" w:type="dxa"/>
            <w:gridSpan w:val="2"/>
          </w:tcPr>
          <w:p w:rsidR="00E32D6B" w:rsidRPr="00E35983" w:rsidRDefault="00E32D6B" w:rsidP="00E32D6B">
            <w:pPr>
              <w:spacing w:line="360" w:lineRule="auto"/>
              <w:jc w:val="left"/>
              <w:rPr>
                <w:rFonts w:ascii="Calibri" w:hAnsi="Calibri"/>
                <w:b/>
                <w:sz w:val="24"/>
              </w:rPr>
            </w:pPr>
            <w:r w:rsidRPr="00E35983">
              <w:rPr>
                <w:rFonts w:ascii="Calibri" w:hAnsi="Calibri"/>
                <w:b/>
                <w:sz w:val="24"/>
              </w:rPr>
              <w:t>接待人职务及姓名：</w:t>
            </w:r>
          </w:p>
          <w:p w:rsidR="00E32D6B" w:rsidRPr="00E35983" w:rsidRDefault="00E32D6B" w:rsidP="00673130"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 w:rsidRPr="00E35983">
              <w:rPr>
                <w:rFonts w:ascii="Calibri" w:hAnsi="Calibri"/>
                <w:sz w:val="24"/>
              </w:rPr>
              <w:t>总经理范祥福先生、财务总监何荣辉先生、</w:t>
            </w:r>
            <w:proofErr w:type="gramStart"/>
            <w:r w:rsidRPr="00E35983">
              <w:rPr>
                <w:rFonts w:ascii="Calibri" w:hAnsi="Calibri"/>
                <w:sz w:val="24"/>
              </w:rPr>
              <w:t>董秘田冀东</w:t>
            </w:r>
            <w:proofErr w:type="gramEnd"/>
            <w:r w:rsidRPr="00E35983">
              <w:rPr>
                <w:rFonts w:ascii="Calibri" w:hAnsi="Calibri"/>
                <w:sz w:val="24"/>
              </w:rPr>
              <w:t>先生、证代张</w:t>
            </w:r>
            <w:proofErr w:type="gramStart"/>
            <w:r w:rsidRPr="00E35983">
              <w:rPr>
                <w:rFonts w:ascii="Calibri" w:hAnsi="Calibri"/>
                <w:sz w:val="24"/>
              </w:rPr>
              <w:t>薷</w:t>
            </w:r>
            <w:proofErr w:type="gramEnd"/>
            <w:r w:rsidRPr="00E35983">
              <w:rPr>
                <w:rFonts w:ascii="Calibri" w:hAnsi="Calibri"/>
                <w:sz w:val="24"/>
              </w:rPr>
              <w:t>尹</w:t>
            </w:r>
            <w:r w:rsidR="00477F83" w:rsidRPr="00E35983">
              <w:rPr>
                <w:rFonts w:ascii="Calibri" w:hAnsi="Calibri"/>
                <w:sz w:val="24"/>
              </w:rPr>
              <w:t>女士</w:t>
            </w:r>
          </w:p>
        </w:tc>
      </w:tr>
      <w:tr w:rsidR="00E32D6B" w:rsidRPr="00673130" w:rsidTr="00BB7198">
        <w:trPr>
          <w:trHeight w:val="45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B" w:rsidRPr="00E35983" w:rsidRDefault="00E32D6B" w:rsidP="00673130">
            <w:pPr>
              <w:spacing w:line="360" w:lineRule="auto"/>
              <w:jc w:val="left"/>
              <w:rPr>
                <w:rFonts w:ascii="Calibri" w:hAnsi="Calibri"/>
                <w:b/>
                <w:sz w:val="24"/>
              </w:rPr>
            </w:pPr>
            <w:r w:rsidRPr="00E35983">
              <w:rPr>
                <w:rFonts w:ascii="Calibri" w:hAnsi="Calibri"/>
                <w:b/>
                <w:sz w:val="24"/>
              </w:rPr>
              <w:t>形式：</w:t>
            </w:r>
            <w:r w:rsidRPr="00E35983">
              <w:rPr>
                <w:rFonts w:ascii="Calibri" w:hAnsi="Calibri"/>
                <w:sz w:val="24"/>
              </w:rPr>
              <w:t>电话会议</w:t>
            </w:r>
          </w:p>
        </w:tc>
      </w:tr>
      <w:tr w:rsidR="00673130" w:rsidRPr="00673130" w:rsidTr="00BB7198">
        <w:trPr>
          <w:trHeight w:val="45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0" w:rsidRPr="00E35983" w:rsidRDefault="00673130" w:rsidP="005A6441">
            <w:pPr>
              <w:spacing w:line="360" w:lineRule="auto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参会人员：</w:t>
            </w:r>
            <w:r w:rsidRPr="00673130">
              <w:rPr>
                <w:rFonts w:ascii="Calibri" w:hAnsi="Calibri" w:hint="eastAsia"/>
                <w:sz w:val="24"/>
              </w:rPr>
              <w:t>安信证券、西南证券、长江证券、申万证券等共计</w:t>
            </w:r>
            <w:r w:rsidRPr="00673130">
              <w:rPr>
                <w:rFonts w:ascii="Calibri" w:hAnsi="Calibri" w:hint="eastAsia"/>
                <w:sz w:val="24"/>
              </w:rPr>
              <w:t>229</w:t>
            </w:r>
            <w:r w:rsidRPr="00673130">
              <w:rPr>
                <w:rFonts w:ascii="Calibri" w:hAnsi="Calibri" w:hint="eastAsia"/>
                <w:sz w:val="24"/>
              </w:rPr>
              <w:t>人</w:t>
            </w:r>
          </w:p>
        </w:tc>
      </w:tr>
      <w:tr w:rsidR="00E32D6B" w:rsidRPr="00C77510" w:rsidTr="005A6441">
        <w:trPr>
          <w:trHeight w:val="3676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D6B" w:rsidRPr="00C77510" w:rsidRDefault="00E32D6B" w:rsidP="00BB7198">
            <w:pPr>
              <w:spacing w:line="360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C77510">
              <w:rPr>
                <w:rFonts w:ascii="Calibri" w:hAnsi="Calibri"/>
                <w:b/>
                <w:sz w:val="24"/>
                <w:szCs w:val="24"/>
              </w:rPr>
              <w:t>主要内容：</w:t>
            </w:r>
          </w:p>
          <w:p w:rsidR="00E13F99" w:rsidRPr="00C77510" w:rsidRDefault="00E13F99" w:rsidP="00BB7198">
            <w:pPr>
              <w:spacing w:line="360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5A6441" w:rsidRPr="00C77510" w:rsidRDefault="005A6441" w:rsidP="00BB7198">
            <w:pPr>
              <w:spacing w:line="360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C77510">
              <w:rPr>
                <w:rFonts w:ascii="Calibri" w:hAnsi="Calibri"/>
                <w:b/>
                <w:sz w:val="24"/>
                <w:szCs w:val="24"/>
              </w:rPr>
              <w:t>一、</w:t>
            </w:r>
            <w:r w:rsidR="00E35983" w:rsidRPr="00C77510">
              <w:rPr>
                <w:rFonts w:ascii="Calibri" w:hAnsi="Calibri"/>
                <w:b/>
                <w:sz w:val="24"/>
                <w:szCs w:val="24"/>
              </w:rPr>
              <w:t>公司领导</w:t>
            </w:r>
            <w:r w:rsidRPr="00C77510">
              <w:rPr>
                <w:rFonts w:ascii="Calibri" w:hAnsi="Calibri"/>
                <w:b/>
                <w:sz w:val="24"/>
                <w:szCs w:val="24"/>
              </w:rPr>
              <w:t>就</w:t>
            </w:r>
            <w:r w:rsidRPr="00C77510">
              <w:rPr>
                <w:rFonts w:ascii="Calibri" w:hAnsi="Calibri"/>
                <w:b/>
                <w:sz w:val="24"/>
                <w:szCs w:val="24"/>
              </w:rPr>
              <w:t>2016</w:t>
            </w:r>
            <w:r w:rsidRPr="00C77510">
              <w:rPr>
                <w:rFonts w:ascii="Calibri" w:hAnsi="Calibri"/>
                <w:b/>
                <w:sz w:val="24"/>
                <w:szCs w:val="24"/>
              </w:rPr>
              <w:t>年及</w:t>
            </w:r>
            <w:r w:rsidRPr="00C77510">
              <w:rPr>
                <w:rFonts w:ascii="Calibri" w:hAnsi="Calibri"/>
                <w:b/>
                <w:sz w:val="24"/>
                <w:szCs w:val="24"/>
              </w:rPr>
              <w:t>2017</w:t>
            </w:r>
            <w:r w:rsidRPr="00C77510">
              <w:rPr>
                <w:rFonts w:ascii="Calibri" w:hAnsi="Calibri"/>
                <w:b/>
                <w:sz w:val="24"/>
                <w:szCs w:val="24"/>
              </w:rPr>
              <w:t>年</w:t>
            </w:r>
            <w:r w:rsidR="00E44960" w:rsidRPr="00C77510">
              <w:rPr>
                <w:rFonts w:ascii="Calibri" w:hAnsi="Calibri" w:hint="eastAsia"/>
                <w:b/>
                <w:sz w:val="24"/>
                <w:szCs w:val="24"/>
              </w:rPr>
              <w:t>一季度</w:t>
            </w:r>
            <w:r w:rsidRPr="00C77510">
              <w:rPr>
                <w:rFonts w:ascii="Calibri" w:hAnsi="Calibri"/>
                <w:b/>
                <w:sz w:val="24"/>
                <w:szCs w:val="24"/>
              </w:rPr>
              <w:t>业绩做解读：</w:t>
            </w:r>
          </w:p>
          <w:p w:rsidR="009336A6" w:rsidRPr="00C77510" w:rsidRDefault="009336A6" w:rsidP="009336A6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第一季度是白酒行业全年最重要的销售季节，会对全年业绩产生较大影响，对水井坊而言，每个春节实际日子对全年业绩是有影响的。为应对过年节日的销售，公司基本上在春节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45-55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天之前就开始销售春节的货。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年春节是在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日，如果按照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45-55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天的情况来算，意味着在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2015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月十几号的区间内我们就已经在销售春节产品。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年春节是在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日，意味着我们在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月初就已开始销售春节产品。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年春节是在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日，意味着我们会在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月末才开始销售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年的春节产品。同时大家也可以理解，就算我们的销售是发生在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月初，但实际上春节是在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日，那我们在线上的投入基本上也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只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会在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月才会开展。所以存在实际销售是有部分发生在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月，但实际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推动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过年整个线上投入是发生在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始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。</w:t>
            </w:r>
            <w:r w:rsidR="004F4B3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公司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年第三季度报告及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23</w:t>
            </w:r>
            <w:r w:rsidR="004F4B3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日业绩预告中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都提及了这一点：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年春节的销售是会受到春节影响而有部分销售会产生在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月的。</w:t>
            </w:r>
          </w:p>
          <w:p w:rsidR="004A55A7" w:rsidRPr="00C77510" w:rsidRDefault="004A4090" w:rsidP="004A4090">
            <w:pPr>
              <w:widowControl/>
              <w:tabs>
                <w:tab w:val="left" w:pos="5807"/>
              </w:tabs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ab/>
            </w:r>
          </w:p>
          <w:p w:rsidR="00E35983" w:rsidRPr="00C77510" w:rsidRDefault="00E35983" w:rsidP="009336A6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2015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年以来发生的变化：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1-3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月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是</w:t>
            </w:r>
            <w:r w:rsidR="007628E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范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总自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2015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10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月加盟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水井坊后对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整个销售策略调整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的计划时段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从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1</w:t>
            </w:r>
            <w:r w:rsidR="004F4B31" w:rsidRPr="00C77510">
              <w:rPr>
                <w:rFonts w:ascii="Calibri" w:hAnsi="Calibri" w:cs="Helvetica"/>
                <w:kern w:val="0"/>
                <w:sz w:val="24"/>
                <w:szCs w:val="24"/>
              </w:rPr>
              <w:t>月份</w:t>
            </w:r>
            <w:r w:rsid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开</w:t>
            </w:r>
            <w:r w:rsidR="00003A6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始</w:t>
            </w:r>
            <w:r w:rsidR="004F4B31" w:rsidRPr="00C77510">
              <w:rPr>
                <w:rFonts w:ascii="Calibri" w:hAnsi="Calibri" w:cs="Helvetica"/>
                <w:kern w:val="0"/>
                <w:sz w:val="24"/>
                <w:szCs w:val="24"/>
              </w:rPr>
              <w:t>原商务总监、市场总监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相继</w:t>
            </w:r>
            <w:r w:rsidR="004F4B31" w:rsidRPr="00C77510">
              <w:rPr>
                <w:rFonts w:ascii="Calibri" w:hAnsi="Calibri" w:cs="Helvetica"/>
                <w:kern w:val="0"/>
                <w:sz w:val="24"/>
                <w:szCs w:val="24"/>
              </w:rPr>
              <w:t>淡出业务</w:t>
            </w:r>
            <w:r w:rsidR="004F4B3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而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新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任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商务总监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于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</w:t>
            </w:r>
            <w:r w:rsidR="004F4B31" w:rsidRPr="00C77510">
              <w:rPr>
                <w:rFonts w:ascii="Calibri" w:hAnsi="Calibri" w:cs="Helvetica"/>
                <w:kern w:val="0"/>
                <w:sz w:val="24"/>
                <w:szCs w:val="24"/>
              </w:rPr>
              <w:t>月底加入</w:t>
            </w:r>
            <w:r w:rsidR="004F4B3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。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故自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4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月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日起</w:t>
            </w:r>
            <w:r w:rsidR="00D10294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才可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开始实施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很多</w:t>
            </w:r>
            <w:r w:rsidR="00D637A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调整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r w:rsidR="00D637A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包括</w:t>
            </w:r>
            <w:r w:rsidR="004A4090" w:rsidRPr="00C77510">
              <w:rPr>
                <w:rFonts w:ascii="Calibri" w:hAnsi="Calibri" w:cs="Helvetica"/>
                <w:kern w:val="0"/>
                <w:sz w:val="24"/>
                <w:szCs w:val="24"/>
              </w:rPr>
              <w:t>重回省</w:t>
            </w:r>
            <w:proofErr w:type="gramStart"/>
            <w:r w:rsidR="004A4090" w:rsidRPr="00C77510">
              <w:rPr>
                <w:rFonts w:ascii="Calibri" w:hAnsi="Calibri" w:cs="Helvetica"/>
                <w:kern w:val="0"/>
                <w:sz w:val="24"/>
                <w:szCs w:val="24"/>
              </w:rPr>
              <w:t>代模式</w:t>
            </w:r>
            <w:proofErr w:type="gramEnd"/>
            <w:r w:rsidR="004A4090" w:rsidRPr="00C77510">
              <w:rPr>
                <w:rFonts w:ascii="Calibri" w:hAnsi="Calibri" w:cs="Helvetica"/>
                <w:kern w:val="0"/>
                <w:sz w:val="24"/>
                <w:szCs w:val="24"/>
              </w:rPr>
              <w:t>,</w:t>
            </w:r>
            <w:r w:rsidR="004A4090" w:rsidRPr="00C77510">
              <w:rPr>
                <w:rFonts w:ascii="Calibri" w:hAnsi="Calibri" w:cs="Helvetica"/>
                <w:kern w:val="0"/>
                <w:sz w:val="24"/>
                <w:szCs w:val="24"/>
              </w:rPr>
              <w:t>调整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价值</w:t>
            </w:r>
            <w:r w:rsidR="00924820" w:rsidRPr="00C77510">
              <w:rPr>
                <w:rFonts w:ascii="Calibri" w:hAnsi="Calibri" w:cs="Helvetica"/>
                <w:kern w:val="0"/>
                <w:sz w:val="24"/>
                <w:szCs w:val="24"/>
              </w:rPr>
              <w:t>链</w:t>
            </w:r>
            <w:r w:rsidR="0092482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等。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核心门</w:t>
            </w:r>
            <w:proofErr w:type="gramStart"/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店</w:t>
            </w:r>
            <w:r w:rsidR="00D637A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项目</w:t>
            </w:r>
            <w:proofErr w:type="gramEnd"/>
            <w:r w:rsidR="0092482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从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5</w:t>
            </w:r>
            <w:r w:rsidR="00924820" w:rsidRPr="00C77510">
              <w:rPr>
                <w:rFonts w:ascii="Calibri" w:hAnsi="Calibri" w:cs="Helvetica"/>
                <w:kern w:val="0"/>
                <w:sz w:val="24"/>
                <w:szCs w:val="24"/>
              </w:rPr>
              <w:t>月开始开展，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并</w:t>
            </w:r>
            <w:r w:rsidR="0092482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在</w:t>
            </w:r>
            <w:r w:rsidR="00D637A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三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季度开始成型。因此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年</w:t>
            </w:r>
            <w:r w:rsidR="00D637A1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一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季度的费用基数</w:t>
            </w:r>
            <w:r w:rsidR="0055741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较低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。</w:t>
            </w:r>
          </w:p>
          <w:p w:rsidR="00924820" w:rsidRPr="00C77510" w:rsidRDefault="00924820" w:rsidP="001E0A7F">
            <w:pPr>
              <w:pStyle w:val="a3"/>
              <w:ind w:firstLine="480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4A4090" w:rsidRPr="00C77510" w:rsidRDefault="00924820" w:rsidP="004A4090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lastRenderedPageBreak/>
              <w:t>如果用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+17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季度的业绩去对比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+15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半年合并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的业绩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以撇除春节预售的影响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，我们营业收入增长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46%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，营业利润增长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82%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，税后净利润增长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77%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,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是一个比较客观的业绩情况。</w:t>
            </w:r>
          </w:p>
          <w:p w:rsidR="004A4090" w:rsidRPr="00C77510" w:rsidRDefault="004A4090" w:rsidP="004A4090">
            <w:pPr>
              <w:widowControl/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E35983" w:rsidRPr="00C77510" w:rsidRDefault="00E35983" w:rsidP="00CB6740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2017</w:t>
            </w:r>
            <w:r w:rsidR="00CB6740" w:rsidRPr="00C77510">
              <w:rPr>
                <w:rFonts w:ascii="Calibri" w:hAnsi="Calibri" w:cs="Helvetica"/>
                <w:kern w:val="0"/>
                <w:sz w:val="24"/>
                <w:szCs w:val="24"/>
              </w:rPr>
              <w:t>年全年业绩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预计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为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主营业务收入增长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35%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左右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净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利润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增长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20%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左右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。高端白酒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在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2013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、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14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年受到深度调整，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2015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年下半年开始慢慢复苏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的情况下</w:t>
            </w:r>
            <w:r w:rsidR="004A4090"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这几年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整个费用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投入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都是</w:t>
            </w:r>
            <w:r w:rsidR="000C081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处于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偏低状态；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未来希望将水井坊打造成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健康可持续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发展的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高端白酒企业。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故此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从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16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年二季度调整战略后</w:t>
            </w:r>
            <w:r w:rsidR="004A40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是</w:t>
            </w:r>
            <w:r w:rsidR="0055741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以长远目标进行规划，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以期有个更好的长远发展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。</w:t>
            </w:r>
          </w:p>
          <w:p w:rsidR="00CB6740" w:rsidRPr="00C77510" w:rsidRDefault="00CB6740" w:rsidP="001E0A7F">
            <w:pPr>
              <w:pStyle w:val="a3"/>
              <w:ind w:firstLine="480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E35983" w:rsidRPr="00C77510" w:rsidRDefault="00E35983" w:rsidP="00E3598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销售费用高增长两个原因：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1.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去年同期基数偏低；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2. A&amp;P</w:t>
            </w:r>
            <w:r w:rsidR="00557410" w:rsidRPr="00C77510">
              <w:rPr>
                <w:rFonts w:ascii="Calibri" w:hAnsi="Calibri" w:cs="Helvetica"/>
                <w:kern w:val="0"/>
                <w:sz w:val="24"/>
                <w:szCs w:val="24"/>
              </w:rPr>
              <w:t>的比例未达公司心理预期</w:t>
            </w:r>
            <w:r w:rsidR="00D41B9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以加速未来</w:t>
            </w:r>
            <w:r w:rsidR="00BF2ACA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业务的发展</w:t>
            </w:r>
            <w:r w:rsidR="00557410"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r w:rsidR="00BF2ACA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故此</w:t>
            </w:r>
            <w:r w:rsidR="00557410" w:rsidRPr="00C77510">
              <w:rPr>
                <w:rFonts w:ascii="Calibri" w:hAnsi="Calibri" w:cs="Helvetica"/>
                <w:kern w:val="0"/>
                <w:sz w:val="24"/>
                <w:szCs w:val="24"/>
              </w:rPr>
              <w:t>还会持续</w:t>
            </w:r>
            <w:r w:rsidR="0055741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增加费用的投入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r w:rsidR="0055741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</w:t>
            </w:r>
            <w:r w:rsidR="00557410" w:rsidRPr="00C77510">
              <w:rPr>
                <w:rFonts w:ascii="Calibri" w:hAnsi="Calibri" w:cs="Helvetica"/>
                <w:kern w:val="0"/>
                <w:sz w:val="24"/>
                <w:szCs w:val="24"/>
              </w:rPr>
              <w:t>达到</w:t>
            </w:r>
            <w:r w:rsidR="0055741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公司预设的较为合适的比例。</w:t>
            </w:r>
          </w:p>
          <w:p w:rsidR="00CB6740" w:rsidRPr="00C77510" w:rsidRDefault="00CB6740" w:rsidP="00CB6740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891D7E" w:rsidRPr="00C77510" w:rsidRDefault="00E35983" w:rsidP="00E3598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竞争力情况：</w:t>
            </w:r>
            <w:r w:rsidR="00CB6740" w:rsidRPr="00C77510">
              <w:rPr>
                <w:rFonts w:ascii="Calibri" w:hAnsi="Calibri" w:cs="Helvetica"/>
                <w:kern w:val="0"/>
                <w:sz w:val="24"/>
                <w:szCs w:val="24"/>
              </w:rPr>
              <w:t>1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）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人才方面，</w:t>
            </w:r>
            <w:r w:rsidR="00891D7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13-</w:t>
            </w:r>
            <w:r w:rsidR="00891D7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15</w:t>
            </w:r>
            <w:r w:rsidR="00891D7E" w:rsidRPr="00C77510">
              <w:rPr>
                <w:rFonts w:ascii="Calibri" w:hAnsi="Calibri" w:cs="Helvetica"/>
                <w:kern w:val="0"/>
                <w:sz w:val="24"/>
                <w:szCs w:val="24"/>
              </w:rPr>
              <w:t>年</w:t>
            </w:r>
            <w:r w:rsidR="00891D7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存在人才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脱节</w:t>
            </w:r>
            <w:r w:rsidR="00891D7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现象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proofErr w:type="gramStart"/>
            <w:r w:rsidR="00891D7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水井坊</w:t>
            </w:r>
            <w:r w:rsidR="00891D7E" w:rsidRPr="00C77510">
              <w:rPr>
                <w:rFonts w:ascii="Calibri" w:hAnsi="Calibri" w:cs="Helvetica"/>
                <w:kern w:val="0"/>
                <w:sz w:val="24"/>
                <w:szCs w:val="24"/>
              </w:rPr>
              <w:t>从国有</w:t>
            </w:r>
            <w:proofErr w:type="gramEnd"/>
            <w:r w:rsidR="00891D7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企业到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民营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企业再到今天外资控股公司，</w:t>
            </w:r>
            <w:r w:rsidR="00891D7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在人才培养上</w:t>
            </w:r>
            <w:r w:rsidR="00BF2ACA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因应客观因素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未</w:t>
            </w:r>
            <w:r w:rsidR="00BF2ACA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能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做</w:t>
            </w:r>
            <w:r w:rsidR="00BF2ACA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到良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好规划，现在增长复苏后就</w:t>
            </w:r>
            <w:r w:rsidR="00BF2ACA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要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考虑人才培育和吸引，作</w:t>
            </w:r>
            <w:r w:rsidR="007628E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为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调整确保关键岗位的人才</w:t>
            </w:r>
            <w:r w:rsidR="000C081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储备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；</w:t>
            </w:r>
            <w:r w:rsidR="00CB6740" w:rsidRPr="00C77510">
              <w:rPr>
                <w:rFonts w:ascii="Calibri" w:hAnsi="Calibri" w:cs="Helvetica"/>
                <w:kern w:val="0"/>
                <w:sz w:val="24"/>
                <w:szCs w:val="24"/>
              </w:rPr>
              <w:t>2</w:t>
            </w:r>
            <w:r w:rsidR="00CB674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）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信息</w:t>
            </w:r>
            <w:r w:rsidR="0055741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系统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升级，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SAP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项目去年</w:t>
            </w:r>
            <w:r w:rsidR="00D637A1" w:rsidRPr="00C77510">
              <w:rPr>
                <w:rFonts w:ascii="Calibri" w:hAnsi="Calibri" w:cs="Helvetica"/>
                <w:kern w:val="0"/>
                <w:sz w:val="24"/>
                <w:szCs w:val="24"/>
              </w:rPr>
              <w:t>三季度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开始，预计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年</w:t>
            </w:r>
            <w:r w:rsidR="00D637A1" w:rsidRPr="00C77510">
              <w:rPr>
                <w:rFonts w:ascii="Calibri" w:hAnsi="Calibri" w:cs="Helvetica"/>
                <w:kern w:val="0"/>
                <w:sz w:val="24"/>
                <w:szCs w:val="24"/>
              </w:rPr>
              <w:t>三季度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可以试运营</w:t>
            </w:r>
            <w:r w:rsidR="0055741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。</w:t>
            </w:r>
          </w:p>
          <w:p w:rsidR="00CB6740" w:rsidRPr="00C77510" w:rsidRDefault="00CB6740" w:rsidP="001E0A7F">
            <w:pPr>
              <w:pStyle w:val="a3"/>
              <w:ind w:firstLine="480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E35983" w:rsidRPr="00C77510" w:rsidRDefault="00677FA9" w:rsidP="00E3598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综上所述，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年第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季度是范总刚来公司后的计划期，大部分费用都处于较低水平，从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年第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季度开始直到今年年底，甚至不排除明年上半年，公司都处于搭建健康的架构时期，包括线上线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下费用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投入、人才招聘（主要岗位人才的挽留）、信息系统的投资等多方面相比过去都会有较大幅度的提升，以期未来更快速的增长，让水井坊的市场占有率和营收方面都有更好的增长。所以从短期而言，公司的营业收入和净利润不一定会像投资者所预期的那样“净利润增速远高于营收增速”。</w:t>
            </w:r>
          </w:p>
          <w:p w:rsidR="00891D7E" w:rsidRPr="00C77510" w:rsidRDefault="00891D7E" w:rsidP="00E35983">
            <w:pPr>
              <w:widowControl/>
              <w:jc w:val="left"/>
              <w:rPr>
                <w:rFonts w:ascii="Calibri" w:hAnsi="Calibri" w:cs="Helvetica"/>
                <w:b/>
                <w:kern w:val="0"/>
                <w:sz w:val="24"/>
                <w:szCs w:val="24"/>
              </w:rPr>
            </w:pPr>
          </w:p>
          <w:p w:rsidR="00891D7E" w:rsidRPr="00C77510" w:rsidRDefault="00891D7E" w:rsidP="00E35983">
            <w:pPr>
              <w:widowControl/>
              <w:jc w:val="left"/>
              <w:rPr>
                <w:rFonts w:ascii="Calibri" w:hAnsi="Calibri" w:cs="Helvetica"/>
                <w:b/>
                <w:kern w:val="0"/>
                <w:sz w:val="24"/>
                <w:szCs w:val="24"/>
              </w:rPr>
            </w:pPr>
          </w:p>
          <w:p w:rsidR="00E35983" w:rsidRPr="00C77510" w:rsidRDefault="00D637A1" w:rsidP="00E35983">
            <w:pPr>
              <w:widowControl/>
              <w:jc w:val="left"/>
              <w:rPr>
                <w:rFonts w:ascii="Calibri" w:hAnsi="Calibri" w:cs="Helvetica"/>
                <w:b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b/>
                <w:kern w:val="0"/>
                <w:sz w:val="24"/>
                <w:szCs w:val="24"/>
              </w:rPr>
              <w:t>二、</w:t>
            </w:r>
            <w:r w:rsidR="008B53C8" w:rsidRPr="00C77510">
              <w:rPr>
                <w:rFonts w:ascii="Calibri" w:hAnsi="Calibri" w:cs="Helvetica" w:hint="eastAsia"/>
                <w:b/>
                <w:kern w:val="0"/>
                <w:sz w:val="24"/>
                <w:szCs w:val="24"/>
              </w:rPr>
              <w:t>水井</w:t>
            </w:r>
            <w:proofErr w:type="gramStart"/>
            <w:r w:rsidR="008B53C8" w:rsidRPr="00C77510">
              <w:rPr>
                <w:rFonts w:ascii="Calibri" w:hAnsi="Calibri" w:cs="Helvetica" w:hint="eastAsia"/>
                <w:b/>
                <w:kern w:val="0"/>
                <w:sz w:val="24"/>
                <w:szCs w:val="24"/>
              </w:rPr>
              <w:t>坊管理</w:t>
            </w:r>
            <w:proofErr w:type="gramEnd"/>
            <w:r w:rsidR="008B53C8" w:rsidRPr="00C77510">
              <w:rPr>
                <w:rFonts w:ascii="Calibri" w:hAnsi="Calibri" w:cs="Helvetica" w:hint="eastAsia"/>
                <w:b/>
                <w:kern w:val="0"/>
                <w:sz w:val="24"/>
                <w:szCs w:val="24"/>
              </w:rPr>
              <w:t>层解答投资者事先提出的问题</w:t>
            </w:r>
          </w:p>
          <w:p w:rsidR="00E35983" w:rsidRPr="00C77510" w:rsidRDefault="00E35983" w:rsidP="008B53C8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水井坊增速情况？</w:t>
            </w:r>
          </w:p>
          <w:p w:rsidR="00E35983" w:rsidRPr="00C77510" w:rsidRDefault="00891D7E" w:rsidP="008B53C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核心产品定位三款，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臻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酿八号是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增速最大单品；典藏今年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3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月开始上市，去年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9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月开始清理旧品库存，在去年低基数和低库存情况下，预计典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lastRenderedPageBreak/>
              <w:t>藏有不错增幅；预计井台增速排第三。</w:t>
            </w:r>
          </w:p>
          <w:p w:rsidR="00E35983" w:rsidRPr="00C77510" w:rsidRDefault="00E35983" w:rsidP="008B53C8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核心门店情况？</w:t>
            </w:r>
          </w:p>
          <w:p w:rsidR="00E35983" w:rsidRPr="00C77510" w:rsidRDefault="00891D7E" w:rsidP="008B53C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677FA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取得了较大进展，将继续推动，但具体门</w:t>
            </w:r>
            <w:proofErr w:type="gramStart"/>
            <w:r w:rsidR="00677FA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店相关</w:t>
            </w:r>
            <w:proofErr w:type="gramEnd"/>
            <w:r w:rsidR="00677FA9" w:rsidRPr="00C77510">
              <w:rPr>
                <w:rFonts w:ascii="Calibri" w:hAnsi="Calibri" w:cs="Helvetica"/>
                <w:kern w:val="0"/>
                <w:sz w:val="24"/>
                <w:szCs w:val="24"/>
              </w:rPr>
              <w:t>数据</w:t>
            </w:r>
            <w:r w:rsidR="00677FA9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不方便透露。</w:t>
            </w:r>
          </w:p>
          <w:p w:rsidR="00E35983" w:rsidRPr="00C77510" w:rsidRDefault="00677FA9" w:rsidP="00677FA9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商务团队的人数增加情况</w:t>
            </w:r>
          </w:p>
          <w:p w:rsidR="00E35983" w:rsidRPr="00C77510" w:rsidRDefault="00891D7E" w:rsidP="008B53C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8B5536" w:rsidRPr="00C77510">
              <w:rPr>
                <w:rFonts w:ascii="Calibri" w:hAnsi="Calibri" w:cs="Helvetica"/>
                <w:kern w:val="0"/>
                <w:sz w:val="24"/>
                <w:szCs w:val="24"/>
              </w:rPr>
              <w:t>商务团队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proofErr w:type="gramStart"/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年年底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约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180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位</w:t>
            </w:r>
            <w:proofErr w:type="gramEnd"/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,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今年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3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月底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增加至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240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位，年底预计增长到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300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位；不排除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会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随业务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发展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情况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进行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调整。</w:t>
            </w:r>
          </w:p>
          <w:p w:rsidR="00E35983" w:rsidRPr="00C77510" w:rsidRDefault="00E35983" w:rsidP="008B53C8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区域情况：</w:t>
            </w:r>
          </w:p>
          <w:p w:rsidR="008B53C8" w:rsidRPr="00C77510" w:rsidRDefault="004A55A7" w:rsidP="004A55A7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原先公司是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5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大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核心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业务区域，去年</w:t>
            </w:r>
            <w:r w:rsidR="00D637A1" w:rsidRPr="00C77510">
              <w:rPr>
                <w:rFonts w:ascii="Calibri" w:hAnsi="Calibri" w:cs="Helvetica"/>
                <w:kern w:val="0"/>
                <w:sz w:val="24"/>
                <w:szCs w:val="24"/>
              </w:rPr>
              <w:t>三季度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起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发展为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5+5</w:t>
            </w:r>
            <w:r w:rsidR="007628E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核心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区域，未来可能</w:t>
            </w:r>
            <w:r w:rsidR="008B5536" w:rsidRPr="00C77510">
              <w:rPr>
                <w:rFonts w:ascii="Calibri" w:hAnsi="Calibri" w:cs="Helvetica"/>
                <w:kern w:val="0"/>
                <w:sz w:val="24"/>
                <w:szCs w:val="24"/>
              </w:rPr>
              <w:t>扩增第三梯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队成为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5+5+5</w:t>
            </w:r>
            <w:r w:rsidR="007628E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核心</w:t>
            </w:r>
            <w:r w:rsidR="007628E6" w:rsidRPr="00C77510">
              <w:rPr>
                <w:rFonts w:ascii="Calibri" w:hAnsi="Calibri" w:cs="Helvetica"/>
                <w:kern w:val="0"/>
                <w:sz w:val="24"/>
                <w:szCs w:val="24"/>
              </w:rPr>
              <w:t>区域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，目前只有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7</w:t>
            </w:r>
            <w:r w:rsidR="008B5536" w:rsidRPr="00C77510">
              <w:rPr>
                <w:rFonts w:ascii="Calibri" w:hAnsi="Calibri" w:cs="Helvetica"/>
                <w:kern w:val="0"/>
                <w:sz w:val="24"/>
                <w:szCs w:val="24"/>
              </w:rPr>
              <w:t>个</w:t>
            </w:r>
            <w:r w:rsidR="00E06A6A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核心省份</w:t>
            </w:r>
            <w:proofErr w:type="gramStart"/>
            <w:r w:rsidR="008B5536" w:rsidRPr="00C77510">
              <w:rPr>
                <w:rFonts w:ascii="Calibri" w:hAnsi="Calibri" w:cs="Helvetica"/>
                <w:kern w:val="0"/>
                <w:sz w:val="24"/>
                <w:szCs w:val="24"/>
              </w:rPr>
              <w:t>有线上</w:t>
            </w:r>
            <w:proofErr w:type="gramEnd"/>
            <w:r w:rsidR="008B5536" w:rsidRPr="00C77510">
              <w:rPr>
                <w:rFonts w:ascii="Calibri" w:hAnsi="Calibri" w:cs="Helvetica"/>
                <w:kern w:val="0"/>
                <w:sz w:val="24"/>
                <w:szCs w:val="24"/>
              </w:rPr>
              <w:t>投入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，未来随着核心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省份</w:t>
            </w:r>
            <w:r w:rsidR="008B553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的增加，线上费用投入会有更大的需求。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过去只能在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5</w:t>
            </w:r>
            <w:r w:rsidR="006B2927" w:rsidRPr="00C77510">
              <w:rPr>
                <w:rFonts w:ascii="Calibri" w:hAnsi="Calibri" w:cs="Helvetica"/>
                <w:kern w:val="0"/>
                <w:sz w:val="24"/>
                <w:szCs w:val="24"/>
              </w:rPr>
              <w:t>大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核心省份</w:t>
            </w:r>
            <w:r w:rsidR="006B2927" w:rsidRPr="00C77510">
              <w:rPr>
                <w:rFonts w:ascii="Calibri" w:hAnsi="Calibri" w:cs="Helvetica"/>
                <w:kern w:val="0"/>
                <w:sz w:val="24"/>
                <w:szCs w:val="24"/>
              </w:rPr>
              <w:t>做地区性电视台广告宣传，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今年</w:t>
            </w:r>
            <w:r w:rsidR="00D637A1" w:rsidRPr="00C77510">
              <w:rPr>
                <w:rFonts w:ascii="Calibri" w:hAnsi="Calibri" w:cs="Helvetica"/>
                <w:kern w:val="0"/>
                <w:sz w:val="24"/>
                <w:szCs w:val="24"/>
              </w:rPr>
              <w:t>一季度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已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扩展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到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全国性</w:t>
            </w:r>
            <w:r w:rsidR="00FA182E" w:rsidRPr="00C77510">
              <w:rPr>
                <w:rFonts w:ascii="Calibri" w:hAnsi="Calibri" w:cs="Helvetica"/>
                <w:kern w:val="0"/>
                <w:sz w:val="24"/>
                <w:szCs w:val="24"/>
              </w:rPr>
              <w:t>电视台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如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上海卫视、江苏卫视、湖南卫视等</w:t>
            </w:r>
            <w:r w:rsidR="00FA182E" w:rsidRPr="00C77510">
              <w:rPr>
                <w:rFonts w:ascii="Calibri" w:hAnsi="Calibri" w:cs="Helvetica"/>
                <w:kern w:val="0"/>
                <w:sz w:val="24"/>
                <w:szCs w:val="24"/>
              </w:rPr>
              <w:t>，因此费用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会增加。</w:t>
            </w:r>
            <w:r w:rsidR="006B2927" w:rsidRPr="00C77510">
              <w:rPr>
                <w:rFonts w:ascii="Calibri" w:hAnsi="Calibri" w:cs="Helvetica"/>
                <w:kern w:val="0"/>
                <w:sz w:val="24"/>
                <w:szCs w:val="24"/>
              </w:rPr>
              <w:t>过去费用主要投在春节和中秋档期，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但随着业务量的上升，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增加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资源再投入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的良性循环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，因此今年开始会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扩展</w:t>
            </w:r>
            <w:r w:rsidR="00FA182E" w:rsidRPr="00C77510">
              <w:rPr>
                <w:rFonts w:ascii="Calibri" w:hAnsi="Calibri" w:cs="Helvetica"/>
                <w:kern w:val="0"/>
                <w:sz w:val="24"/>
                <w:szCs w:val="24"/>
              </w:rPr>
              <w:t>到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全年持续的广告投入，而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其它推广活动如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品鉴会等也会跟进来带动市场消费。</w:t>
            </w:r>
          </w:p>
          <w:p w:rsidR="00E13F99" w:rsidRPr="00C77510" w:rsidRDefault="00E13F99" w:rsidP="00E13F99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8B53C8" w:rsidRPr="00C77510" w:rsidRDefault="008B53C8" w:rsidP="008B53C8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推广费用的划分情况？</w:t>
            </w:r>
          </w:p>
          <w:p w:rsidR="00E35983" w:rsidRPr="00C77510" w:rsidRDefault="008B53C8" w:rsidP="008B53C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线上线下投入比例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约为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6:4</w:t>
            </w:r>
          </w:p>
          <w:p w:rsidR="008B53C8" w:rsidRPr="00C77510" w:rsidRDefault="008B53C8" w:rsidP="008B53C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59274F" w:rsidRPr="00C77510" w:rsidRDefault="00E35983" w:rsidP="008B53C8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所得税问题：</w:t>
            </w:r>
          </w:p>
          <w:p w:rsidR="00E35983" w:rsidRPr="00C77510" w:rsidRDefault="0059274F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有专门税务团队作税务筹划，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一般公司所得税率在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25%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。在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2013-2014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高端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白酒受影响时期公司有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所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亏损，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故此可将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2015-2016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年利润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作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抵扣亏损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处理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，所以我们的税率有所降低，税率在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16-17%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左右。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当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我们业务继续发展下去，到今年年底也有望抵扣过去亏损，预计年底税率也有望下降，但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季度未考虑可抵扣亏损因素。</w:t>
            </w:r>
          </w:p>
          <w:p w:rsidR="00E35983" w:rsidRPr="00C77510" w:rsidRDefault="00E35983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8B53C8" w:rsidRPr="00C77510" w:rsidRDefault="008B53C8" w:rsidP="0059274F">
            <w:pPr>
              <w:widowControl/>
              <w:spacing w:before="100" w:beforeAutospacing="1" w:after="100" w:afterAutospacing="1"/>
              <w:jc w:val="left"/>
              <w:rPr>
                <w:rFonts w:ascii="Calibri" w:hAnsi="Calibri" w:cs="Helvetica"/>
                <w:b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b/>
                <w:kern w:val="0"/>
                <w:sz w:val="24"/>
                <w:szCs w:val="24"/>
              </w:rPr>
              <w:t>三、投资者现场提问答疑情况</w:t>
            </w:r>
          </w:p>
          <w:p w:rsidR="00E35983" w:rsidRPr="00C77510" w:rsidRDefault="00E35983" w:rsidP="0059274F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proofErr w:type="gramStart"/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相比竞品竞争力</w:t>
            </w:r>
            <w:proofErr w:type="gramEnd"/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有加强吗？费用投入是偏主动的还是因市场竞争加剧带来被动投入？</w:t>
            </w:r>
          </w:p>
          <w:p w:rsidR="00E35983" w:rsidRPr="00C77510" w:rsidRDefault="0059274F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现在的投入策略是主动型。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2016Q1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我们的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投入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为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营业收入的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lastRenderedPageBreak/>
              <w:t>15%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；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2017Q1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增长至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21%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；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2015Q4+2016Q1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合并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="00FA182E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投入为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17%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而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2016Q4+2017Q1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合并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投入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为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22%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，即整个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投入都增加了很多点，是主动的费用增加：从地区性的电视广播发展到全国性的电视广播，播放周期从去年只在春节和中秋两个节假日前后变为全年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间断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性的投入，在电子媒体、社交媒体、品鉴会、财富论坛等其他活动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提高水井坊的知名度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和品牌内涵为目的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。现在的规划不是被动地看竞争对手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在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做什么我们就做什么，而是采用主动的按照我们的规划投入资源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以推进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相应的策略行动，这意味着我们在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的投入将会持续增大，同时随着业务在持续高成长时，费用投入会</w:t>
            </w:r>
            <w:bookmarkStart w:id="0" w:name="_GoBack"/>
            <w:bookmarkEnd w:id="0"/>
            <w:r w:rsidR="00C7751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做出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相应加大增加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而形成一个良性循环</w:t>
            </w:r>
            <w:r w:rsidR="006B292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。</w:t>
            </w:r>
          </w:p>
          <w:p w:rsidR="00E35983" w:rsidRPr="00C77510" w:rsidRDefault="005A153C" w:rsidP="0059274F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费用投入规划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的目标点在何处？</w:t>
            </w:r>
          </w:p>
          <w:p w:rsidR="00E35983" w:rsidRPr="00C77510" w:rsidRDefault="0059274F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2017Q1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投入为营业收入的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21%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，基本接近我们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未来全年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设定目标（二十几个点左右），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当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到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达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既定目标之后，未来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的投入会维持在目标比例而不会继续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往上提升，因为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它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已经到了我们的</w:t>
            </w:r>
            <w:r w:rsidR="00D65648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设置目标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。</w:t>
            </w:r>
          </w:p>
          <w:p w:rsidR="00E35983" w:rsidRPr="00C77510" w:rsidRDefault="00E35983" w:rsidP="0059274F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市场</w:t>
            </w:r>
            <w:proofErr w:type="gramStart"/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端调整</w:t>
            </w:r>
            <w:proofErr w:type="gramEnd"/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收效良好，未来区域布局节奏？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35%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的增长是建立在</w:t>
            </w:r>
            <w:r w:rsidR="005A153C" w:rsidRPr="00C77510">
              <w:rPr>
                <w:rFonts w:ascii="Calibri" w:hAnsi="Calibri" w:cs="Helvetica"/>
                <w:kern w:val="0"/>
                <w:sz w:val="24"/>
                <w:szCs w:val="24"/>
              </w:rPr>
              <w:t>低基数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上的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，而且在核心市场扩大过程中</w:t>
            </w:r>
            <w:r w:rsidR="005A153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这个比例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不算快，如何评估费用投放的有效性，明年后年的收入增长？</w:t>
            </w:r>
          </w:p>
          <w:p w:rsidR="005F7FD7" w:rsidRPr="00C77510" w:rsidRDefault="0059274F" w:rsidP="005F7FD7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按照我们的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现状，水井</w:t>
            </w:r>
            <w:proofErr w:type="gramStart"/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坊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主要</w:t>
            </w:r>
            <w:proofErr w:type="gramEnd"/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是在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300-500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元中高档板块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竞争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、</w:t>
            </w:r>
            <w:r w:rsidR="000F5F3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以及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500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元以上的高档板块。公司</w:t>
            </w:r>
            <w:proofErr w:type="gramStart"/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目前铺市率</w:t>
            </w:r>
            <w:proofErr w:type="gramEnd"/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基本在百分之十几左右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，随着品牌知名度和内涵的较快成长，未来还有很大的提升空间。截至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月底，公司预计在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300-500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价格带白酒市场的占有率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约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为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4%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多，所以在分销渠道和市场占比方面，公司都处在比较低水平，未来会继续提升品牌力。我们现在的成长并不是局限在几个主要的地区，无论过去贡献度高或低的省份都有不同的较高增长，意味着</w:t>
            </w:r>
            <w:proofErr w:type="gramStart"/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水井坊受消费者</w:t>
            </w:r>
            <w:proofErr w:type="gramEnd"/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欢迎的程度不是局限在几个省份，而是在大部分省份都有较好的增长，所以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核心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市场从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5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个核心省份拓展到去年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季度的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5+5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核心省份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，未来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将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继续开拓市场，还有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很大的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成长空间。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300-500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板块未来增速预计在两位数，整个规模可能在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300-400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亿元，如果成长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10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个点，则整个板块可增长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30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多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个亿，假设我们成长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40%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，也就是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5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、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6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个亿，意味着还有一大块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增长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去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均</w:t>
            </w:r>
            <w:r w:rsidR="005F7FD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分，我们并没有抢占别人的量，而是大家都可以得到成长，只是在整个市场快速增长时，谁能拿到更多的增量，并不意味着它们现有的销量会受到影响。</w:t>
            </w:r>
          </w:p>
          <w:p w:rsidR="00E35983" w:rsidRPr="00C77510" w:rsidRDefault="005F7FD7" w:rsidP="001E0A7F">
            <w:pPr>
              <w:widowControl/>
              <w:spacing w:before="100" w:beforeAutospacing="1" w:after="100" w:afterAutospacing="1"/>
              <w:ind w:left="720" w:firstLineChars="200" w:firstLine="48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投入费用的有效性方面，我们有良好的内控系统，无论投入任何费用都需做评估，确保投入的费用和目标都有相关的评估，确保费用不会投入到低效地方，假设真的在某些季度发生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投入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低效情况，则立马会进行相应调整。如果我们收入增速慢下来，则也会调整相应的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A&amp;P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费用，确保我们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的投放费用和收入不会脱钩。正如之前所说，当销售收入略快时，费用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会相应增快，而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当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收入增速放缓时，费用也</w:t>
            </w:r>
            <w:r w:rsidR="00015683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将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放缓，最多偏差也只会有一个季度的偏差，而不会是长期的偏差。现在所有的线上线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下费用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以及渠道的开发都是希望水井坊有一个快速的增长，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市占率可以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在现有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约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的基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lastRenderedPageBreak/>
              <w:t>础上有更高的增长。</w:t>
            </w:r>
          </w:p>
          <w:p w:rsidR="00E35983" w:rsidRPr="00C77510" w:rsidRDefault="00E35983" w:rsidP="0059274F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新省代新门店下沉在新区域开拓中会有调整吗？</w:t>
            </w:r>
          </w:p>
          <w:p w:rsidR="00E35983" w:rsidRPr="00C77510" w:rsidRDefault="0059274F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新市场发展方式不会有太大差异。新旧差别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主要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在于新模式下由水井坊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自己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负责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前端销售工作</w:t>
            </w:r>
            <w:r w:rsidR="006718F0" w:rsidRPr="00C77510">
              <w:rPr>
                <w:rFonts w:ascii="Calibri" w:hAnsi="Calibri" w:cs="Helvetica"/>
                <w:kern w:val="0"/>
                <w:sz w:val="24"/>
                <w:szCs w:val="24"/>
              </w:rPr>
              <w:t>。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但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核心门店在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旧的</w:t>
            </w:r>
            <w:proofErr w:type="gramStart"/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省代</w:t>
            </w:r>
            <w:r w:rsidR="006718F0" w:rsidRPr="00C77510">
              <w:rPr>
                <w:rFonts w:ascii="Calibri" w:hAnsi="Calibri" w:cs="Helvetica"/>
                <w:kern w:val="0"/>
                <w:sz w:val="24"/>
                <w:szCs w:val="24"/>
              </w:rPr>
              <w:t>模式</w:t>
            </w:r>
            <w:proofErr w:type="gramEnd"/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也</w:t>
            </w:r>
            <w:proofErr w:type="gramStart"/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由省代执行</w:t>
            </w:r>
            <w:proofErr w:type="gramEnd"/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沒有太大差别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,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原有</w:t>
            </w:r>
            <w:proofErr w:type="gramStart"/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的省代与</w:t>
            </w:r>
            <w:proofErr w:type="gramEnd"/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我们的合作关系也越来越紧密。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虽然个别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市场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可能会因市场环境不一样而有</w:t>
            </w:r>
            <w:r w:rsidR="006718F0" w:rsidRPr="00C77510">
              <w:rPr>
                <w:rFonts w:ascii="Calibri" w:hAnsi="Calibri" w:cs="Helvetica"/>
                <w:kern w:val="0"/>
                <w:sz w:val="24"/>
                <w:szCs w:val="24"/>
              </w:rPr>
              <w:t>差异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，但核心内容是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一致的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。</w:t>
            </w:r>
          </w:p>
          <w:p w:rsidR="00E35983" w:rsidRPr="00C77510" w:rsidRDefault="00047C2C" w:rsidP="00047C2C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公司治理结构方面，您现在的长期布局都是持续性很好的，但短期业绩上大股东考核什么呢？比如去年收入增长很快，利润增长更快，但按照您的思路，今年收入增长挺快但利润增长没有收入增长快，这属长期投资，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那么帝亚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吉欧对短期业绩有具体的指标要求吗？</w:t>
            </w:r>
          </w:p>
          <w:p w:rsidR="00E35983" w:rsidRPr="00C77510" w:rsidRDefault="0059274F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水井</w:t>
            </w:r>
            <w:proofErr w:type="gramStart"/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坊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作为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中国上市公司，非常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重视自己的独立性，会做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水井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坊</w:t>
            </w:r>
            <w:r w:rsidR="00047C2C" w:rsidRPr="00C77510">
              <w:rPr>
                <w:rFonts w:ascii="Calibri" w:hAnsi="Calibri" w:cs="Helvetica"/>
                <w:kern w:val="0"/>
                <w:sz w:val="24"/>
                <w:szCs w:val="24"/>
              </w:rPr>
              <w:t>认为</w:t>
            </w:r>
            <w:proofErr w:type="gramEnd"/>
            <w:r w:rsidR="00047C2C" w:rsidRPr="00C77510">
              <w:rPr>
                <w:rFonts w:ascii="Calibri" w:hAnsi="Calibri" w:cs="Helvetica"/>
                <w:kern w:val="0"/>
                <w:sz w:val="24"/>
                <w:szCs w:val="24"/>
              </w:rPr>
              <w:t>正确的事情。大股东和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中</w:t>
            </w:r>
            <w:r w:rsidR="00047C2C" w:rsidRPr="00C77510">
              <w:rPr>
                <w:rFonts w:ascii="Calibri" w:hAnsi="Calibri" w:cs="Helvetica"/>
                <w:kern w:val="0"/>
                <w:sz w:val="24"/>
                <w:szCs w:val="24"/>
              </w:rPr>
              <w:t>小股东在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权利</w:t>
            </w:r>
            <w:r w:rsidR="00047C2C" w:rsidRPr="00C77510">
              <w:rPr>
                <w:rFonts w:ascii="Calibri" w:hAnsi="Calibri" w:cs="Helvetica"/>
                <w:kern w:val="0"/>
                <w:sz w:val="24"/>
                <w:szCs w:val="24"/>
              </w:rPr>
              <w:t>方面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同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股同权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，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公司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管理层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会确保未来发展是</w:t>
            </w:r>
            <w:r w:rsidR="006718F0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朝着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正确方向，而且过去的业绩也较好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地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匹配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了</w:t>
            </w:r>
            <w:r w:rsidR="00047C2C" w:rsidRPr="00C77510">
              <w:rPr>
                <w:rFonts w:ascii="Calibri" w:hAnsi="Calibri" w:cs="Helvetica"/>
                <w:kern w:val="0"/>
                <w:sz w:val="24"/>
                <w:szCs w:val="24"/>
              </w:rPr>
              <w:t>股东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</w:t>
            </w:r>
            <w:r w:rsidR="00047C2C" w:rsidRPr="00C77510">
              <w:rPr>
                <w:rFonts w:ascii="Calibri" w:hAnsi="Calibri" w:cs="Helvetica"/>
                <w:kern w:val="0"/>
                <w:sz w:val="24"/>
                <w:szCs w:val="24"/>
              </w:rPr>
              <w:t>目标。</w:t>
            </w:r>
            <w:proofErr w:type="gramStart"/>
            <w:r w:rsidR="00047C2C" w:rsidRPr="00C77510">
              <w:rPr>
                <w:rFonts w:ascii="Calibri" w:hAnsi="Calibri" w:cs="Helvetica"/>
                <w:kern w:val="0"/>
                <w:sz w:val="24"/>
                <w:szCs w:val="24"/>
              </w:rPr>
              <w:t>帝亚吉欧</w:t>
            </w:r>
            <w:proofErr w:type="gramEnd"/>
            <w:r w:rsidR="00047C2C" w:rsidRPr="00C77510">
              <w:rPr>
                <w:rFonts w:ascii="Calibri" w:hAnsi="Calibri" w:cs="Helvetica"/>
                <w:kern w:val="0"/>
                <w:sz w:val="24"/>
                <w:szCs w:val="24"/>
              </w:rPr>
              <w:t>对水井坊是长期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战略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性</w:t>
            </w: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投资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，大股东对水井</w:t>
            </w:r>
            <w:proofErr w:type="gramStart"/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坊过去</w:t>
            </w:r>
            <w:proofErr w:type="gramEnd"/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18</w:t>
            </w:r>
            <w:r w:rsidR="00047C2C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个月的业绩表现较为满意</w:t>
            </w:r>
            <w:r w:rsidR="00E35983" w:rsidRPr="00C77510">
              <w:rPr>
                <w:rFonts w:ascii="Calibri" w:hAnsi="Calibri" w:cs="Helvetica"/>
                <w:kern w:val="0"/>
                <w:sz w:val="24"/>
                <w:szCs w:val="24"/>
              </w:rPr>
              <w:t>。</w:t>
            </w:r>
          </w:p>
          <w:p w:rsidR="0053471C" w:rsidRPr="00C77510" w:rsidRDefault="0053471C" w:rsidP="0053471C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税率因为之前亏损转回年底降到百分之十几，在收入实现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35%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的基础上，利润增速目标是否定得保守？</w:t>
            </w:r>
          </w:p>
          <w:p w:rsidR="0053471C" w:rsidRPr="00C77510" w:rsidRDefault="0053471C" w:rsidP="0053471C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答：作为一家负责任的上市公司，我们对所有预测都</w:t>
            </w:r>
            <w:r w:rsidR="00FF0F0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持着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审慎的态度。例如，去年公布递延奖金计划目标是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15%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增长，但过去看到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年的业绩远远高于既定目标，我们采用审慎而不是激进的态度。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年是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水井坊受</w:t>
            </w:r>
            <w:r w:rsidR="00FF0F0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实际</w:t>
            </w:r>
            <w:proofErr w:type="gramEnd"/>
            <w:r w:rsidR="00FF0F0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春节日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影响大的年份，正如之前所说的，因为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年春节在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28</w:t>
            </w:r>
            <w:r w:rsidR="000F5F3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日，部分销售收入发生在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月，但实际费用是</w:t>
            </w:r>
            <w:r w:rsidR="000F5F3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发生在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年一季度，但如果看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月又有不同的影响，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年春节在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日，按照推前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45-55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天销售，意味着公司从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12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月末最后一周开始销售，所以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年年头和年尾都受到春节在不同时间点的影响。</w:t>
            </w:r>
          </w:p>
          <w:p w:rsidR="00E35983" w:rsidRPr="00C77510" w:rsidRDefault="00E35983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53471C" w:rsidRPr="00C77510" w:rsidRDefault="0053471C" w:rsidP="0053471C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月份公司发布递延奖金的公告，上面有一些对核心管理层的激励，那这部分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年有没有考虑到管理费用中？如果考虑的话，按照季度分摊还是年底一次性计提的？</w:t>
            </w:r>
          </w:p>
          <w:p w:rsidR="0053471C" w:rsidRPr="00C77510" w:rsidRDefault="0053471C" w:rsidP="0053471C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答：依据中国会计原则，按实际时间点计提到管理费用，每月计提，具体请参见年报上关于递延奖金的计提。</w:t>
            </w:r>
          </w:p>
          <w:p w:rsidR="0053471C" w:rsidRPr="00C77510" w:rsidRDefault="0053471C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53471C" w:rsidRPr="00C77510" w:rsidRDefault="0053471C" w:rsidP="0053471C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今年线上和线下投入比例分别是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60%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、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40%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，去年这个比例是怎么样的水平？关于线下投入，一次性投入（比如进场费）和重复性的费用（比如陈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lastRenderedPageBreak/>
              <w:t>列费、推广费）占比分别是多少呢？</w:t>
            </w:r>
          </w:p>
          <w:p w:rsidR="00E35983" w:rsidRPr="00C77510" w:rsidRDefault="0053471C" w:rsidP="0053471C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年线上和线下比例</w:t>
            </w:r>
            <w:r w:rsidR="00FF0F0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约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为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55%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和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45%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，意味着品牌建</w:t>
            </w:r>
            <w:r w:rsidR="0039758B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设费用增加的速度快于线下费用增速。线下费用主要包括核心门</w:t>
            </w:r>
            <w:proofErr w:type="gramStart"/>
            <w:r w:rsidR="0039758B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店费用</w:t>
            </w:r>
            <w:proofErr w:type="gramEnd"/>
            <w:r w:rsidR="0039758B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等，大部分的费用都是均衡性的、持续发生的，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进场费等一次性费用占比很小。</w:t>
            </w:r>
          </w:p>
          <w:p w:rsidR="00E35983" w:rsidRPr="00C77510" w:rsidRDefault="00E35983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E35983" w:rsidRPr="00C77510" w:rsidRDefault="00CD6432" w:rsidP="00CD6432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年第一季度西区增长偏慢，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 xml:space="preserve"> 16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年西区还有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35%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的增速，今年增速为何远远低于其他地区？</w:t>
            </w:r>
          </w:p>
          <w:p w:rsidR="00E35983" w:rsidRPr="00C77510" w:rsidRDefault="0059274F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西区增长</w:t>
            </w:r>
            <w:proofErr w:type="gramStart"/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慢主要</w:t>
            </w:r>
            <w:proofErr w:type="gramEnd"/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有两个原因：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）因为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1919</w:t>
            </w:r>
            <w:r w:rsidR="00FF0F0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是全国性的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酒</w:t>
            </w:r>
            <w:r w:rsidR="00FF0F0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类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销售门店，过去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1919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的销售额都计入西区，但从今年规划开始，则将其进入到相应省份，这更能反映不同省份的表现，自然会对西区的销售有影响；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）水井坊原有销售体系的不同体制（如扁平化市场、</w:t>
            </w:r>
            <w:proofErr w:type="gramStart"/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省代市场</w:t>
            </w:r>
            <w:proofErr w:type="gramEnd"/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）导致出厂价有所差异，跨区货的发生是比较常见的，经过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16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年第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</w:t>
            </w:r>
            <w:r w:rsidR="00CD643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管理后，基本上现在每个地区的销售跨区情况有大幅改良，当时四川是扁平化市场，属于跨区相对严重的市场，经过调整后，跨区情况少了，自然今年西区从跨区销售得到的部分已经不存在了。因此，在几个因素作用下，西区增速相对较慢，但如果用同口径的方法来看，其实西区的增速也较为满意。</w:t>
            </w:r>
          </w:p>
          <w:p w:rsidR="002A3EEF" w:rsidRPr="00C77510" w:rsidRDefault="002A3EEF" w:rsidP="002A3EEF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17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年全年预计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号增速领先，井台可能在典藏之后，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号和井台规模体量相差不大，则公司在单品市场推广或倾向方面，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号的费用投入方面是否有侧重？</w:t>
            </w:r>
          </w:p>
          <w:p w:rsidR="00E35983" w:rsidRPr="00C77510" w:rsidRDefault="002A3EEF" w:rsidP="002A3EE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答：水井坊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的愿景是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成为中国最可信赖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、成长最快的高端白酒企业，我们更重视的是将水井</w:t>
            </w:r>
            <w:proofErr w:type="gramStart"/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坊价值往</w:t>
            </w:r>
            <w:proofErr w:type="gramEnd"/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高档方向发展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，所以今年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月推出典藏大师版的重新上市。</w:t>
            </w:r>
            <w:proofErr w:type="gramStart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水井坊若想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真正回归到高档白酒品牌，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现有业务的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主要贡献者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号和井台都是在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500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元以下，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某种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意义上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并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不是真正高端白酒品牌，所以在费用投入方面，未来会倾向于井台和典藏投入更多的线上建设资源，但在线下投入会和单品表现有直接关系。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而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我们在媒体投放典藏或井台广告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时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，主要目标是推动整个水井</w:t>
            </w:r>
            <w:proofErr w:type="gramStart"/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坊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品牌</w:t>
            </w:r>
            <w:proofErr w:type="gramEnd"/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的价值，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相信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也会对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8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号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起到</w:t>
            </w: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一定的品牌效应。</w:t>
            </w:r>
          </w:p>
          <w:p w:rsidR="00E35983" w:rsidRPr="00C77510" w:rsidRDefault="00E35983" w:rsidP="0059274F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</w:p>
          <w:p w:rsidR="002A3EEF" w:rsidRPr="00C77510" w:rsidRDefault="002A3EEF" w:rsidP="002A3EEF">
            <w:pPr>
              <w:pStyle w:val="a3"/>
              <w:widowControl/>
              <w:numPr>
                <w:ilvl w:val="0"/>
                <w:numId w:val="22"/>
              </w:numPr>
              <w:spacing w:before="100" w:beforeAutospacing="1" w:after="100" w:afterAutospacing="1"/>
              <w:ind w:firstLineChars="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请问如何最快将渠道推至全国呢？因为现在区域龙头、全国名酒都在发力做次高端。用何种方式今明两年大幅提高经销商数量？核心门店是如何形式？每个核心门店要投多少钱，做到多少个？一季度中费用中多大比例用于这块支出？效果如何？</w:t>
            </w:r>
          </w:p>
          <w:p w:rsidR="00E35983" w:rsidRPr="00C77510" w:rsidRDefault="00E13F99" w:rsidP="002A3EEF">
            <w:pPr>
              <w:pStyle w:val="a3"/>
              <w:widowControl/>
              <w:spacing w:before="100" w:beforeAutospacing="1" w:after="100" w:afterAutospacing="1"/>
              <w:ind w:left="720" w:firstLineChars="0" w:firstLine="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就全国化速度而言，从我刚进来的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5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大核心市场到去年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3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季度经过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9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个月发展为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10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个核心市场，现在也在考虑是否增加第三梯队核心市场。现阶段</w:t>
            </w:r>
            <w:r w:rsidR="00155FA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区域内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我们采用蘑菇战略——在每个省份有一个点做的不错的话</w:t>
            </w:r>
            <w:r w:rsidR="00155FA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，则会在其周边地区延伸。如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一次性铺开全国</w:t>
            </w:r>
            <w:r w:rsidR="00155FA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市场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，</w:t>
            </w:r>
            <w:r w:rsidR="00155FA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不仅费用会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大幅增加，</w:t>
            </w:r>
            <w:r w:rsidR="00155FA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lastRenderedPageBreak/>
              <w:t>也不一定能做到更有效。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就现在时点判断而言，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2016-2017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年都是水井坊搭建更健康平台的时期，无论省份发展还是人才发展都是</w:t>
            </w:r>
            <w:r w:rsidR="000F504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要确保未来能够有更持续的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发展，不希望脚步快过能够应付的</w:t>
            </w:r>
            <w:r w:rsidR="000F5046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速度，以避免不必要的失误。核心门店是水井坊业务推动的重要因素，具体不便透</w:t>
            </w:r>
            <w:r w:rsidR="002A3EEF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露。</w:t>
            </w:r>
          </w:p>
          <w:p w:rsidR="00E35983" w:rsidRPr="00C77510" w:rsidRDefault="00E35983" w:rsidP="0059274F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/>
                <w:kern w:val="0"/>
                <w:sz w:val="24"/>
                <w:szCs w:val="24"/>
              </w:rPr>
              <w:t>存货跌价损失</w:t>
            </w:r>
            <w:r w:rsidR="004A55A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问题</w:t>
            </w:r>
          </w:p>
          <w:p w:rsidR="00E32D6B" w:rsidRPr="00C77510" w:rsidRDefault="00E13F99" w:rsidP="004A55A7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Calibri" w:hAnsi="Calibri" w:cs="Helvetica"/>
                <w:kern w:val="0"/>
                <w:sz w:val="24"/>
                <w:szCs w:val="24"/>
              </w:rPr>
            </w:pPr>
            <w:r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答：</w:t>
            </w:r>
            <w:r w:rsidR="004A55A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公司严格遵循会计准则关于对减值计提原则的</w:t>
            </w:r>
            <w:r w:rsidR="006C18A2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规定，在年未对存货是否减值做测试和判断，有可能冲回，也有可能增加</w:t>
            </w:r>
            <w:r w:rsidR="004A55A7" w:rsidRPr="00C77510">
              <w:rPr>
                <w:rFonts w:ascii="Calibri" w:hAnsi="Calibri" w:cs="Helvetica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E32D6B" w:rsidRPr="00C77510" w:rsidRDefault="00E32D6B">
      <w:pPr>
        <w:rPr>
          <w:rFonts w:ascii="Calibri" w:hAnsi="Calibri"/>
          <w:sz w:val="24"/>
          <w:szCs w:val="24"/>
        </w:rPr>
      </w:pPr>
    </w:p>
    <w:p w:rsidR="00C77510" w:rsidRPr="00C77510" w:rsidRDefault="00C77510">
      <w:pPr>
        <w:rPr>
          <w:rFonts w:ascii="Calibri" w:hAnsi="Calibri"/>
          <w:sz w:val="24"/>
          <w:szCs w:val="24"/>
        </w:rPr>
      </w:pPr>
    </w:p>
    <w:sectPr w:rsidR="00C77510" w:rsidRPr="00C7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9B" w:rsidRDefault="00E1199B" w:rsidP="005A6441">
      <w:r>
        <w:separator/>
      </w:r>
    </w:p>
  </w:endnote>
  <w:endnote w:type="continuationSeparator" w:id="0">
    <w:p w:rsidR="00E1199B" w:rsidRDefault="00E1199B" w:rsidP="005A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9B" w:rsidRDefault="00E1199B" w:rsidP="005A6441">
      <w:r>
        <w:separator/>
      </w:r>
    </w:p>
  </w:footnote>
  <w:footnote w:type="continuationSeparator" w:id="0">
    <w:p w:rsidR="00E1199B" w:rsidRDefault="00E1199B" w:rsidP="005A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A92"/>
    <w:multiLevelType w:val="multilevel"/>
    <w:tmpl w:val="1F94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F479B"/>
    <w:multiLevelType w:val="multilevel"/>
    <w:tmpl w:val="75BAD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F454D"/>
    <w:multiLevelType w:val="multilevel"/>
    <w:tmpl w:val="DACE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76671"/>
    <w:multiLevelType w:val="multilevel"/>
    <w:tmpl w:val="9078C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92EE0"/>
    <w:multiLevelType w:val="multilevel"/>
    <w:tmpl w:val="2A2E7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A5FEA"/>
    <w:multiLevelType w:val="multilevel"/>
    <w:tmpl w:val="CEA2C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4292B"/>
    <w:multiLevelType w:val="hybridMultilevel"/>
    <w:tmpl w:val="4D6A7460"/>
    <w:lvl w:ilvl="0" w:tplc="BA0A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107B30"/>
    <w:multiLevelType w:val="multilevel"/>
    <w:tmpl w:val="68805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A2B6A"/>
    <w:multiLevelType w:val="multilevel"/>
    <w:tmpl w:val="6588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40E8A"/>
    <w:multiLevelType w:val="multilevel"/>
    <w:tmpl w:val="073E43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957F7"/>
    <w:multiLevelType w:val="multilevel"/>
    <w:tmpl w:val="C5167E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57E03"/>
    <w:multiLevelType w:val="multilevel"/>
    <w:tmpl w:val="F724C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D7D66"/>
    <w:multiLevelType w:val="multilevel"/>
    <w:tmpl w:val="FA6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C57DB"/>
    <w:multiLevelType w:val="multilevel"/>
    <w:tmpl w:val="51688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C4A1C"/>
    <w:multiLevelType w:val="multilevel"/>
    <w:tmpl w:val="B9FA4C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C4FA9"/>
    <w:multiLevelType w:val="multilevel"/>
    <w:tmpl w:val="894EEF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E0DBC"/>
    <w:multiLevelType w:val="multilevel"/>
    <w:tmpl w:val="6588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A4A19"/>
    <w:multiLevelType w:val="multilevel"/>
    <w:tmpl w:val="E4D8B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33ED8"/>
    <w:multiLevelType w:val="multilevel"/>
    <w:tmpl w:val="6E729F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272ED"/>
    <w:multiLevelType w:val="multilevel"/>
    <w:tmpl w:val="6588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70232"/>
    <w:multiLevelType w:val="multilevel"/>
    <w:tmpl w:val="E8965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66DEB"/>
    <w:multiLevelType w:val="multilevel"/>
    <w:tmpl w:val="51FA5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20"/>
  </w:num>
  <w:num w:numId="11">
    <w:abstractNumId w:val="13"/>
  </w:num>
  <w:num w:numId="12">
    <w:abstractNumId w:val="17"/>
  </w:num>
  <w:num w:numId="13">
    <w:abstractNumId w:val="18"/>
  </w:num>
  <w:num w:numId="14">
    <w:abstractNumId w:val="14"/>
  </w:num>
  <w:num w:numId="15">
    <w:abstractNumId w:val="15"/>
  </w:num>
  <w:num w:numId="16">
    <w:abstractNumId w:val="21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D"/>
    <w:rsid w:val="00003A69"/>
    <w:rsid w:val="00015683"/>
    <w:rsid w:val="00047C2C"/>
    <w:rsid w:val="00090008"/>
    <w:rsid w:val="000A1CEF"/>
    <w:rsid w:val="000C0817"/>
    <w:rsid w:val="000F5046"/>
    <w:rsid w:val="000F5F3F"/>
    <w:rsid w:val="00155FA7"/>
    <w:rsid w:val="001B09C6"/>
    <w:rsid w:val="001E0A7F"/>
    <w:rsid w:val="002A3EEF"/>
    <w:rsid w:val="00361090"/>
    <w:rsid w:val="0039758B"/>
    <w:rsid w:val="003F18E5"/>
    <w:rsid w:val="00477F83"/>
    <w:rsid w:val="004A4090"/>
    <w:rsid w:val="004A55A7"/>
    <w:rsid w:val="004C6746"/>
    <w:rsid w:val="004F4B31"/>
    <w:rsid w:val="0053471C"/>
    <w:rsid w:val="00557410"/>
    <w:rsid w:val="005605F9"/>
    <w:rsid w:val="0059274F"/>
    <w:rsid w:val="005A153C"/>
    <w:rsid w:val="005A6441"/>
    <w:rsid w:val="005F7FD7"/>
    <w:rsid w:val="006718F0"/>
    <w:rsid w:val="00673130"/>
    <w:rsid w:val="00677FA9"/>
    <w:rsid w:val="006B2927"/>
    <w:rsid w:val="006C18A2"/>
    <w:rsid w:val="007628E6"/>
    <w:rsid w:val="007F5C56"/>
    <w:rsid w:val="0081647F"/>
    <w:rsid w:val="0084432B"/>
    <w:rsid w:val="00891D7E"/>
    <w:rsid w:val="008B53C8"/>
    <w:rsid w:val="008B5536"/>
    <w:rsid w:val="008F065A"/>
    <w:rsid w:val="00924820"/>
    <w:rsid w:val="009336A6"/>
    <w:rsid w:val="00BB2B4D"/>
    <w:rsid w:val="00BF2ACA"/>
    <w:rsid w:val="00C32F1D"/>
    <w:rsid w:val="00C77510"/>
    <w:rsid w:val="00CB6740"/>
    <w:rsid w:val="00CD6432"/>
    <w:rsid w:val="00D10294"/>
    <w:rsid w:val="00D41B90"/>
    <w:rsid w:val="00D637A1"/>
    <w:rsid w:val="00D65648"/>
    <w:rsid w:val="00E06A6A"/>
    <w:rsid w:val="00E1199B"/>
    <w:rsid w:val="00E13F99"/>
    <w:rsid w:val="00E32D6B"/>
    <w:rsid w:val="00E35983"/>
    <w:rsid w:val="00E44960"/>
    <w:rsid w:val="00F22394"/>
    <w:rsid w:val="00FA182E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6B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610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4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4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6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64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6B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610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4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4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6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6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张薷尹 Eva Zhang</dc:creator>
  <cp:lastModifiedBy>张薷尹 Eva Zhang</cp:lastModifiedBy>
  <cp:revision>18</cp:revision>
  <cp:lastPrinted>2017-04-29T15:01:00Z</cp:lastPrinted>
  <dcterms:created xsi:type="dcterms:W3CDTF">2017-04-30T01:25:00Z</dcterms:created>
  <dcterms:modified xsi:type="dcterms:W3CDTF">2017-04-30T14:12:00Z</dcterms:modified>
</cp:coreProperties>
</file>