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3A" w:rsidRDefault="00067D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DD7957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DD7957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 w:rsidR="00DD7957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:</w:t>
      </w:r>
      <w:r w:rsidR="00DC1E83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DF6D3A" w:rsidRPr="00FB363B" w:rsidRDefault="00067D00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 w:rsidR="00EA0D15">
        <w:rPr>
          <w:rFonts w:hint="eastAsia"/>
          <w:sz w:val="28"/>
          <w:szCs w:val="28"/>
        </w:rPr>
        <w:t>上海市青浦区朱枫公路</w:t>
      </w:r>
      <w:r w:rsidR="00EA0D15">
        <w:rPr>
          <w:rFonts w:hint="eastAsia"/>
          <w:sz w:val="28"/>
          <w:szCs w:val="28"/>
        </w:rPr>
        <w:t>1226</w:t>
      </w:r>
      <w:r w:rsidR="00EA0D15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调研机构</w:t>
      </w:r>
      <w:r>
        <w:rPr>
          <w:sz w:val="28"/>
          <w:szCs w:val="28"/>
        </w:rPr>
        <w:t>及人员：</w:t>
      </w:r>
    </w:p>
    <w:tbl>
      <w:tblPr>
        <w:tblW w:w="808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598"/>
        <w:gridCol w:w="3402"/>
      </w:tblGrid>
      <w:tr w:rsidR="00890941" w:rsidRPr="00890941" w:rsidTr="00DD795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890941" w:rsidP="008909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CB18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DD7957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F3095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F3095D" w:rsidRPr="00890941" w:rsidTr="00DD795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5D" w:rsidRPr="00F3095D" w:rsidRDefault="00F3095D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095D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95D" w:rsidRPr="00F3095D" w:rsidRDefault="00DD7957" w:rsidP="00DD795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东方证券资产管理有限公司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95D" w:rsidRPr="00DD7957" w:rsidRDefault="00DD7957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D7957">
              <w:rPr>
                <w:rFonts w:ascii="宋体" w:hAnsi="宋体" w:hint="eastAsia"/>
                <w:kern w:val="0"/>
                <w:sz w:val="28"/>
                <w:szCs w:val="28"/>
              </w:rPr>
              <w:t>吴非、王延飞、郭乃幸、韩冬、李响</w:t>
            </w:r>
          </w:p>
        </w:tc>
      </w:tr>
      <w:tr w:rsidR="007A1538" w:rsidRPr="00890941" w:rsidTr="00DD7957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538" w:rsidRPr="00F3095D" w:rsidRDefault="007A1538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095D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538" w:rsidRPr="00F3095D" w:rsidRDefault="00DD7957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招商证券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38" w:rsidRPr="00F3095D" w:rsidRDefault="00DD7957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杨珏、陈曦</w:t>
            </w:r>
          </w:p>
        </w:tc>
      </w:tr>
      <w:tr w:rsidR="007A1538" w:rsidRPr="00890941" w:rsidTr="00DD7957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538" w:rsidRPr="00F3095D" w:rsidRDefault="007A1538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538" w:rsidRDefault="00DD7957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益正金融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38" w:rsidRDefault="00DD7957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雷晨昊</w:t>
            </w:r>
          </w:p>
        </w:tc>
      </w:tr>
      <w:tr w:rsidR="007A1538" w:rsidRPr="00890941" w:rsidTr="00DD7957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538" w:rsidRPr="00F3095D" w:rsidRDefault="007A1538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538" w:rsidRDefault="00DD7957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上海世诚投资管理有限公司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38" w:rsidRDefault="00DD7957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夏骏</w:t>
            </w:r>
            <w:proofErr w:type="gramEnd"/>
          </w:p>
        </w:tc>
      </w:tr>
    </w:tbl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</w:t>
      </w:r>
      <w:r>
        <w:rPr>
          <w:sz w:val="28"/>
          <w:szCs w:val="28"/>
        </w:rPr>
        <w:t>人员：</w:t>
      </w:r>
      <w:bookmarkStart w:id="0" w:name="_Hlk482198680"/>
      <w:r w:rsidR="00906779">
        <w:rPr>
          <w:rFonts w:hint="eastAsia"/>
          <w:sz w:val="28"/>
          <w:szCs w:val="28"/>
        </w:rPr>
        <w:t>应建森、</w:t>
      </w:r>
      <w:r>
        <w:rPr>
          <w:sz w:val="28"/>
          <w:szCs w:val="28"/>
        </w:rPr>
        <w:t>陈娟娟</w:t>
      </w:r>
      <w:bookmarkEnd w:id="0"/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记录人</w:t>
      </w:r>
      <w:r>
        <w:rPr>
          <w:sz w:val="28"/>
          <w:szCs w:val="28"/>
        </w:rPr>
        <w:t>：</w:t>
      </w:r>
      <w:r w:rsidR="00890941">
        <w:rPr>
          <w:rFonts w:hint="eastAsia"/>
          <w:sz w:val="28"/>
          <w:szCs w:val="28"/>
        </w:rPr>
        <w:t>蒋蓓蓓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四、会议内容</w:t>
      </w:r>
    </w:p>
    <w:p w:rsidR="00205CB7" w:rsidRDefault="00205CB7" w:rsidP="00205CB7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公司董秘应建森</w:t>
      </w:r>
      <w:proofErr w:type="gramEnd"/>
      <w:r>
        <w:rPr>
          <w:rFonts w:ascii="宋体" w:hAnsi="宋体" w:hint="eastAsia"/>
          <w:sz w:val="28"/>
          <w:szCs w:val="28"/>
        </w:rPr>
        <w:t>先生、证券事务代表陈娟娟女士就公司基本情况及</w:t>
      </w:r>
      <w:r w:rsidR="00753AEB">
        <w:rPr>
          <w:rFonts w:ascii="宋体" w:hAnsi="宋体" w:hint="eastAsia"/>
          <w:sz w:val="28"/>
          <w:szCs w:val="28"/>
        </w:rPr>
        <w:t>投资者关注的</w:t>
      </w:r>
      <w:r>
        <w:rPr>
          <w:rFonts w:ascii="宋体" w:hAnsi="宋体" w:hint="eastAsia"/>
          <w:sz w:val="28"/>
          <w:szCs w:val="28"/>
        </w:rPr>
        <w:t>内容进行了交流，具体交流情况如下：</w:t>
      </w:r>
    </w:p>
    <w:p w:rsidR="00205CB7" w:rsidRDefault="00205CB7" w:rsidP="00205CB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（一）、公司</w:t>
      </w:r>
      <w:r w:rsidR="00753AEB">
        <w:rPr>
          <w:rFonts w:ascii="宋体" w:hAnsi="宋体" w:hint="eastAsia"/>
          <w:sz w:val="28"/>
          <w:szCs w:val="28"/>
        </w:rPr>
        <w:t>证券事务代表陈娟娟女士</w:t>
      </w:r>
      <w:r>
        <w:rPr>
          <w:rFonts w:ascii="宋体" w:hAnsi="宋体" w:hint="eastAsia"/>
          <w:sz w:val="28"/>
          <w:szCs w:val="28"/>
        </w:rPr>
        <w:t>介绍</w:t>
      </w:r>
      <w:r w:rsidR="00753AEB">
        <w:rPr>
          <w:rFonts w:ascii="宋体" w:hAnsi="宋体" w:hint="eastAsia"/>
          <w:sz w:val="28"/>
          <w:szCs w:val="28"/>
        </w:rPr>
        <w:t>了</w:t>
      </w:r>
      <w:r>
        <w:rPr>
          <w:rFonts w:ascii="宋体" w:hAnsi="宋体" w:hint="eastAsia"/>
          <w:sz w:val="28"/>
          <w:szCs w:val="28"/>
        </w:rPr>
        <w:t>公司</w:t>
      </w:r>
      <w:r w:rsidR="00753AEB">
        <w:rPr>
          <w:rFonts w:ascii="宋体" w:hAnsi="宋体" w:hint="eastAsia"/>
          <w:sz w:val="28"/>
          <w:szCs w:val="28"/>
        </w:rPr>
        <w:t>基本情况</w:t>
      </w:r>
    </w:p>
    <w:p w:rsidR="00205CB7" w:rsidRDefault="00205CB7" w:rsidP="00C27E4F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公司：荣泰健康是一家集研发、制造和营销为一体，专注于健康产业、按摩器具、科技养生解决方案的供应商和品牌服务商。</w:t>
      </w:r>
    </w:p>
    <w:p w:rsidR="00FB5186" w:rsidRDefault="004D7A2F" w:rsidP="00C27E4F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D7A2F">
        <w:rPr>
          <w:rFonts w:asciiTheme="minorEastAsia" w:eastAsiaTheme="minorEastAsia" w:hAnsiTheme="minorEastAsia" w:hint="eastAsia"/>
          <w:color w:val="000000"/>
          <w:sz w:val="28"/>
          <w:szCs w:val="28"/>
        </w:rPr>
        <w:t>销售模式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：包括直营、</w:t>
      </w:r>
      <w:r w:rsidR="00333054">
        <w:rPr>
          <w:rFonts w:asciiTheme="minorEastAsia" w:eastAsiaTheme="minorEastAsia" w:hAnsiTheme="minorEastAsia" w:hint="eastAsia"/>
          <w:color w:val="000000"/>
          <w:sz w:val="28"/>
          <w:szCs w:val="28"/>
        </w:rPr>
        <w:t>电商、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经销商、体验式营销、</w:t>
      </w:r>
      <w:r w:rsidR="00813DCA">
        <w:rPr>
          <w:rFonts w:asciiTheme="minorEastAsia" w:eastAsiaTheme="minorEastAsia" w:hAnsiTheme="minorEastAsia" w:hint="eastAsia"/>
          <w:color w:val="000000"/>
          <w:sz w:val="28"/>
          <w:szCs w:val="28"/>
        </w:rPr>
        <w:t>共享按摩椅</w:t>
      </w:r>
    </w:p>
    <w:p w:rsidR="00813DCA" w:rsidRDefault="00813DCA" w:rsidP="00C27E4F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生产模式：现有的上海市青浦区朱枫公路厂房</w:t>
      </w:r>
      <w:r w:rsidR="001F5C0C">
        <w:rPr>
          <w:rFonts w:asciiTheme="minorEastAsia" w:eastAsiaTheme="minorEastAsia" w:hAnsiTheme="minorEastAsia" w:hint="eastAsia"/>
          <w:color w:val="000000"/>
          <w:sz w:val="28"/>
          <w:szCs w:val="28"/>
        </w:rPr>
        <w:t>生产基地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 w:rsidR="00333054">
        <w:rPr>
          <w:rFonts w:asciiTheme="minorEastAsia" w:eastAsiaTheme="minorEastAsia" w:hAnsiTheme="minorEastAsia" w:hint="eastAsia"/>
          <w:color w:val="000000"/>
          <w:sz w:val="28"/>
          <w:szCs w:val="28"/>
        </w:rPr>
        <w:t>南浔</w:t>
      </w:r>
      <w:proofErr w:type="gramStart"/>
      <w:r w:rsidR="00333054">
        <w:rPr>
          <w:rFonts w:asciiTheme="minorEastAsia" w:eastAsiaTheme="minorEastAsia" w:hAnsiTheme="minorEastAsia" w:hint="eastAsia"/>
          <w:color w:val="000000"/>
          <w:sz w:val="28"/>
          <w:szCs w:val="28"/>
        </w:rPr>
        <w:t>募投项目</w:t>
      </w:r>
      <w:proofErr w:type="gramEnd"/>
      <w:r w:rsidR="00333054">
        <w:rPr>
          <w:rFonts w:asciiTheme="minorEastAsia" w:eastAsiaTheme="minorEastAsia" w:hAnsiTheme="minorEastAsia" w:hint="eastAsia"/>
          <w:color w:val="000000"/>
          <w:sz w:val="28"/>
          <w:szCs w:val="28"/>
        </w:rPr>
        <w:t>的投产，</w:t>
      </w:r>
      <w:r w:rsidR="00F136F2">
        <w:rPr>
          <w:rFonts w:asciiTheme="minorEastAsia" w:eastAsiaTheme="minorEastAsia" w:hAnsiTheme="minorEastAsia" w:hint="eastAsia"/>
          <w:color w:val="000000"/>
          <w:sz w:val="28"/>
          <w:szCs w:val="28"/>
        </w:rPr>
        <w:t>以</w:t>
      </w:r>
      <w:r w:rsidR="00333054">
        <w:rPr>
          <w:rFonts w:asciiTheme="minorEastAsia" w:eastAsiaTheme="minorEastAsia" w:hAnsiTheme="minorEastAsia" w:hint="eastAsia"/>
          <w:color w:val="000000"/>
          <w:sz w:val="28"/>
          <w:szCs w:val="28"/>
        </w:rPr>
        <w:t>缓解产能</w:t>
      </w:r>
      <w:r w:rsidR="00A6448B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F136F2" w:rsidRPr="00F136F2" w:rsidRDefault="00F136F2" w:rsidP="00F136F2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募投项目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方面：直营体验</w:t>
      </w: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式项目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及售后服务项目正有序推进中。</w:t>
      </w:r>
    </w:p>
    <w:p w:rsidR="004D31D7" w:rsidRDefault="004D31D7" w:rsidP="004D31D7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（二）、投资者提问环节</w:t>
      </w:r>
    </w:p>
    <w:p w:rsidR="00A9392E" w:rsidRDefault="00F136F2" w:rsidP="004D31D7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1、公司管理模式如何，是家族企业</w:t>
      </w:r>
      <w:r w:rsidR="00682F0F">
        <w:rPr>
          <w:rFonts w:hint="eastAsia"/>
          <w:sz w:val="28"/>
          <w:szCs w:val="28"/>
        </w:rPr>
        <w:t>模式</w:t>
      </w:r>
      <w:r>
        <w:rPr>
          <w:rFonts w:hint="eastAsia"/>
          <w:sz w:val="28"/>
          <w:szCs w:val="28"/>
        </w:rPr>
        <w:t>吗？</w:t>
      </w:r>
    </w:p>
    <w:p w:rsidR="00F136F2" w:rsidRDefault="00682F0F" w:rsidP="004D31D7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公司除董事长、总经理、及行政副总外，</w:t>
      </w:r>
      <w:proofErr w:type="gramStart"/>
      <w:r>
        <w:rPr>
          <w:rFonts w:hint="eastAsia"/>
          <w:sz w:val="28"/>
          <w:szCs w:val="28"/>
        </w:rPr>
        <w:t>其余管理</w:t>
      </w:r>
      <w:proofErr w:type="gramEnd"/>
      <w:r>
        <w:rPr>
          <w:rFonts w:hint="eastAsia"/>
          <w:sz w:val="28"/>
          <w:szCs w:val="28"/>
        </w:rPr>
        <w:t>人员均为外部聘请的职业经理人。</w:t>
      </w:r>
    </w:p>
    <w:p w:rsidR="00703F65" w:rsidRDefault="00682F0F" w:rsidP="004D31D7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E7A60">
        <w:rPr>
          <w:rFonts w:hint="eastAsia"/>
          <w:sz w:val="28"/>
          <w:szCs w:val="28"/>
        </w:rPr>
        <w:t>全球按摩椅的产能从台湾、日本转移到中国的原因是什么？</w:t>
      </w:r>
    </w:p>
    <w:p w:rsidR="002E7A60" w:rsidRDefault="002E7A60" w:rsidP="004D31D7">
      <w:pPr>
        <w:pStyle w:val="pictext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产能转移到中国主要包括中国拥有完善的供应链体系，产品物美价廉；中国人民的勤劳、聪明及不断的创新精神。</w:t>
      </w:r>
    </w:p>
    <w:p w:rsidR="00BE416E" w:rsidRDefault="00703F65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3、公司产品的零部件供应商是合作客户指定的吗？</w:t>
      </w:r>
    </w:p>
    <w:p w:rsidR="00703F65" w:rsidRPr="009649EE" w:rsidRDefault="00703F65" w:rsidP="00A274DC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极少数的供应商是指定的。</w:t>
      </w:r>
    </w:p>
    <w:p w:rsidR="00A274DC" w:rsidRPr="00F56ED9" w:rsidRDefault="00A274DC" w:rsidP="00A274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韩国客户成功的原因？</w:t>
      </w:r>
    </w:p>
    <w:p w:rsidR="00A274DC" w:rsidRDefault="00A274DC" w:rsidP="00A274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我们的这家韩国在韩国深耕多年，并成功的</w:t>
      </w:r>
      <w:bookmarkStart w:id="1" w:name="_Hlk483206890"/>
      <w:r>
        <w:rPr>
          <w:rFonts w:ascii="宋体" w:hAnsi="宋体" w:hint="eastAsia"/>
          <w:sz w:val="28"/>
          <w:szCs w:val="28"/>
        </w:rPr>
        <w:t>将</w:t>
      </w:r>
      <w:r w:rsidRPr="000872EE">
        <w:rPr>
          <w:rFonts w:ascii="宋体" w:hAnsi="宋体" w:hint="eastAsia"/>
          <w:sz w:val="28"/>
          <w:szCs w:val="28"/>
        </w:rPr>
        <w:t>消费者向中高端引导</w:t>
      </w:r>
      <w:bookmarkEnd w:id="1"/>
      <w:r>
        <w:rPr>
          <w:rFonts w:ascii="宋体" w:hAnsi="宋体" w:hint="eastAsia"/>
          <w:sz w:val="28"/>
          <w:szCs w:val="28"/>
        </w:rPr>
        <w:t>。他们投入较大支出在广告和</w:t>
      </w:r>
      <w:r>
        <w:rPr>
          <w:rFonts w:ascii="宋体" w:hAnsi="宋体"/>
          <w:sz w:val="28"/>
          <w:szCs w:val="28"/>
        </w:rPr>
        <w:t>营销</w:t>
      </w:r>
      <w:r>
        <w:rPr>
          <w:rFonts w:ascii="宋体" w:hAnsi="宋体" w:hint="eastAsia"/>
          <w:sz w:val="28"/>
          <w:szCs w:val="28"/>
        </w:rPr>
        <w:t>上，并通过电视购物（在韩国电视购物较有影响力），聘请代言人等方式让消费者接受按摩椅，同时也开创了39期分期付款的方式打通了支付通道。而且韩国整体生活品质、消费水平较高。</w:t>
      </w:r>
    </w:p>
    <w:p w:rsidR="00703F65" w:rsidRDefault="00A274DC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5、沙发企业做按摩椅的可行性</w:t>
      </w:r>
    </w:p>
    <w:p w:rsidR="00A274DC" w:rsidRDefault="00A274DC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隔行如隔山，按摩椅与普通椅子相比有共性但是在技术、工艺、研发等方面还是有其各自不同的特点的，生产按摩椅要比生产普通椅子复杂的多。</w:t>
      </w:r>
    </w:p>
    <w:p w:rsidR="00A274DC" w:rsidRDefault="00A274DC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6、公司产品的消费者</w:t>
      </w:r>
      <w:r w:rsidR="00BC36AA">
        <w:rPr>
          <w:rFonts w:ascii="宋体" w:hAnsi="宋体" w:hint="eastAsia"/>
          <w:sz w:val="28"/>
          <w:szCs w:val="28"/>
        </w:rPr>
        <w:t>都是哪些人群？</w:t>
      </w:r>
    </w:p>
    <w:p w:rsidR="00BC36AA" w:rsidRDefault="00BC36AA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传统意义上中老年人使用按摩椅的居多，目前来看</w:t>
      </w:r>
      <w:r>
        <w:rPr>
          <w:rFonts w:ascii="宋体" w:hAnsi="宋体" w:hint="eastAsia"/>
          <w:sz w:val="28"/>
          <w:szCs w:val="28"/>
        </w:rPr>
        <w:t>随着现代消费水平</w:t>
      </w:r>
      <w:r>
        <w:rPr>
          <w:rFonts w:ascii="宋体" w:hAnsi="宋体" w:hint="eastAsia"/>
          <w:sz w:val="28"/>
          <w:szCs w:val="28"/>
        </w:rPr>
        <w:t>不断提升，按摩椅的购买从中老年向年轻化转移，年轻人购买的产品可以自己使用也可以送给父母 。</w:t>
      </w:r>
    </w:p>
    <w:p w:rsidR="00BC36AA" w:rsidRDefault="00BC36AA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7、公司开设直营体验店的目的是什么？</w:t>
      </w:r>
    </w:p>
    <w:p w:rsidR="00BC36AA" w:rsidRDefault="00BC36AA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从韩国客户</w:t>
      </w:r>
      <w:r w:rsidR="00B658F8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成功经验我们总结得出之前填鸭式的店铺</w:t>
      </w:r>
      <w:r w:rsidR="00B658F8">
        <w:rPr>
          <w:rFonts w:ascii="宋体" w:hAnsi="宋体" w:hint="eastAsia"/>
          <w:sz w:val="28"/>
          <w:szCs w:val="28"/>
        </w:rPr>
        <w:t>经营</w:t>
      </w:r>
      <w:r>
        <w:rPr>
          <w:rFonts w:ascii="宋体" w:hAnsi="宋体" w:hint="eastAsia"/>
          <w:sz w:val="28"/>
          <w:szCs w:val="28"/>
        </w:rPr>
        <w:t>模式已经落伍，我们需要改变原来的传统场景，</w:t>
      </w:r>
      <w:r w:rsidR="00B658F8">
        <w:rPr>
          <w:rFonts w:ascii="宋体" w:hAnsi="宋体" w:hint="eastAsia"/>
          <w:sz w:val="28"/>
          <w:szCs w:val="28"/>
        </w:rPr>
        <w:t>打造与</w:t>
      </w:r>
      <w:r>
        <w:rPr>
          <w:rFonts w:ascii="宋体" w:hAnsi="宋体" w:hint="eastAsia"/>
          <w:sz w:val="28"/>
          <w:szCs w:val="28"/>
        </w:rPr>
        <w:t>让消费者</w:t>
      </w:r>
      <w:r w:rsidR="00B658F8">
        <w:rPr>
          <w:rFonts w:ascii="宋体" w:hAnsi="宋体" w:hint="eastAsia"/>
          <w:sz w:val="28"/>
          <w:szCs w:val="28"/>
        </w:rPr>
        <w:t>品质生活相匹配的场景式体验店，让消费者感受到按摩椅也是品质生活的一种方式。</w:t>
      </w:r>
    </w:p>
    <w:p w:rsidR="00B658F8" w:rsidRDefault="00B658F8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8、公司有制定产品价格体系吗？</w:t>
      </w:r>
    </w:p>
    <w:p w:rsidR="00B658F8" w:rsidRDefault="00B658F8" w:rsidP="009536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全国各渠道都是统一价。</w:t>
      </w:r>
    </w:p>
    <w:p w:rsidR="00B658F8" w:rsidRDefault="00B658F8" w:rsidP="00F246D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9、公司</w:t>
      </w:r>
      <w:r w:rsidR="00F246D6">
        <w:rPr>
          <w:rFonts w:ascii="宋体" w:hAnsi="宋体" w:hint="eastAsia"/>
          <w:sz w:val="28"/>
          <w:szCs w:val="28"/>
        </w:rPr>
        <w:t>推出的新产品与旧产品有什么区别</w:t>
      </w:r>
      <w:r>
        <w:rPr>
          <w:rFonts w:ascii="宋体" w:hAnsi="宋体" w:hint="eastAsia"/>
          <w:sz w:val="28"/>
          <w:szCs w:val="28"/>
        </w:rPr>
        <w:t>？</w:t>
      </w:r>
    </w:p>
    <w:p w:rsidR="00F246D6" w:rsidRDefault="00F246D6" w:rsidP="00F246D6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产品的内部技术，功能、外形等都会有区别。公司每年都会投入不低于5%的销售收入作为研发费用。</w:t>
      </w:r>
    </w:p>
    <w:p w:rsidR="00F246D6" w:rsidRDefault="00F246D6" w:rsidP="00F246D6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10、共享按摩椅铺设的点有多少个？都铺设在哪些地方？</w:t>
      </w:r>
    </w:p>
    <w:p w:rsidR="00F246D6" w:rsidRPr="0024694B" w:rsidRDefault="00F246D6" w:rsidP="0024694B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目前铺设的点约有3000多个</w:t>
      </w:r>
      <w:r w:rsidR="0024694B">
        <w:rPr>
          <w:rFonts w:ascii="宋体" w:hAnsi="宋体" w:hint="eastAsia"/>
          <w:sz w:val="28"/>
          <w:szCs w:val="28"/>
        </w:rPr>
        <w:t>。</w:t>
      </w:r>
      <w:r w:rsidR="0024694B">
        <w:rPr>
          <w:rFonts w:ascii="宋体" w:hAnsi="宋体" w:hint="eastAsia"/>
          <w:sz w:val="28"/>
          <w:szCs w:val="28"/>
        </w:rPr>
        <w:t>主要</w:t>
      </w:r>
      <w:r w:rsidR="0024694B">
        <w:rPr>
          <w:rFonts w:ascii="宋体" w:hAnsi="宋体" w:hint="eastAsia"/>
          <w:sz w:val="28"/>
          <w:szCs w:val="28"/>
        </w:rPr>
        <w:t>铺设场地</w:t>
      </w:r>
      <w:r w:rsidR="0024694B">
        <w:rPr>
          <w:rFonts w:ascii="宋体" w:hAnsi="宋体" w:hint="eastAsia"/>
          <w:sz w:val="28"/>
          <w:szCs w:val="28"/>
        </w:rPr>
        <w:t>有电影院、机场、高铁、商场、购物中心、酒店大堂等。</w:t>
      </w:r>
    </w:p>
    <w:p w:rsidR="00F246D6" w:rsidRPr="009649EE" w:rsidRDefault="00F246D6" w:rsidP="00F246D6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Pr="00BE416E">
        <w:rPr>
          <w:rFonts w:ascii="宋体" w:hAnsi="宋体"/>
          <w:sz w:val="28"/>
          <w:szCs w:val="28"/>
        </w:rPr>
        <w:t xml:space="preserve"> </w:t>
      </w:r>
      <w:r w:rsidRPr="009649EE">
        <w:rPr>
          <w:rFonts w:ascii="宋体" w:hAnsi="宋体" w:hint="eastAsia"/>
          <w:sz w:val="28"/>
          <w:szCs w:val="28"/>
        </w:rPr>
        <w:t>摩</w:t>
      </w:r>
      <w:proofErr w:type="gramStart"/>
      <w:r w:rsidRPr="009649EE">
        <w:rPr>
          <w:rFonts w:ascii="宋体" w:hAnsi="宋体" w:hint="eastAsia"/>
          <w:sz w:val="28"/>
          <w:szCs w:val="28"/>
        </w:rPr>
        <w:t>摩哒投入</w:t>
      </w:r>
      <w:proofErr w:type="gramEnd"/>
      <w:r w:rsidRPr="009649EE">
        <w:rPr>
          <w:rFonts w:ascii="宋体" w:hAnsi="宋体" w:hint="eastAsia"/>
          <w:sz w:val="28"/>
          <w:szCs w:val="28"/>
        </w:rPr>
        <w:t>的费用和折旧如何测算？</w:t>
      </w:r>
    </w:p>
    <w:p w:rsidR="00F246D6" w:rsidRPr="009649EE" w:rsidRDefault="00F246D6" w:rsidP="00F246D6">
      <w:pPr>
        <w:ind w:firstLine="570"/>
        <w:rPr>
          <w:rFonts w:ascii="宋体" w:hAnsi="宋体"/>
          <w:sz w:val="28"/>
          <w:szCs w:val="28"/>
        </w:rPr>
      </w:pPr>
      <w:r w:rsidRPr="009649EE">
        <w:rPr>
          <w:rFonts w:ascii="宋体" w:hAnsi="宋体" w:hint="eastAsia"/>
          <w:sz w:val="28"/>
          <w:szCs w:val="28"/>
        </w:rPr>
        <w:t>摩</w:t>
      </w:r>
      <w:proofErr w:type="gramStart"/>
      <w:r w:rsidRPr="009649EE">
        <w:rPr>
          <w:rFonts w:ascii="宋体" w:hAnsi="宋体" w:hint="eastAsia"/>
          <w:sz w:val="28"/>
          <w:szCs w:val="28"/>
        </w:rPr>
        <w:t>摩</w:t>
      </w:r>
      <w:proofErr w:type="gramEnd"/>
      <w:r w:rsidRPr="009649EE">
        <w:rPr>
          <w:rFonts w:ascii="宋体" w:hAnsi="宋体" w:hint="eastAsia"/>
          <w:sz w:val="28"/>
          <w:szCs w:val="28"/>
        </w:rPr>
        <w:t>哒的产品是由荣泰销售，价格与经销商相同。产品销售给摩</w:t>
      </w:r>
      <w:proofErr w:type="gramStart"/>
      <w:r w:rsidRPr="009649EE">
        <w:rPr>
          <w:rFonts w:ascii="宋体" w:hAnsi="宋体" w:hint="eastAsia"/>
          <w:sz w:val="28"/>
          <w:szCs w:val="28"/>
        </w:rPr>
        <w:t>摩哒后</w:t>
      </w:r>
      <w:proofErr w:type="gramEnd"/>
      <w:r w:rsidRPr="009649EE">
        <w:rPr>
          <w:rFonts w:ascii="宋体" w:hAnsi="宋体" w:hint="eastAsia"/>
          <w:sz w:val="28"/>
          <w:szCs w:val="28"/>
        </w:rPr>
        <w:t>计入其资产，分三年计提折旧。</w:t>
      </w:r>
    </w:p>
    <w:p w:rsidR="00F246D6" w:rsidRPr="009649EE" w:rsidRDefault="00F246D6" w:rsidP="00F246D6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、</w:t>
      </w:r>
      <w:r w:rsidRPr="009649EE">
        <w:rPr>
          <w:rFonts w:ascii="宋体" w:hAnsi="宋体" w:hint="eastAsia"/>
          <w:sz w:val="28"/>
          <w:szCs w:val="28"/>
        </w:rPr>
        <w:t>如何看待将电影院椅子全部替换成按摩椅的想法？</w:t>
      </w:r>
    </w:p>
    <w:p w:rsidR="001E1807" w:rsidRPr="00BE416E" w:rsidRDefault="00F246D6" w:rsidP="0024694B">
      <w:pPr>
        <w:ind w:firstLine="570"/>
        <w:rPr>
          <w:rFonts w:ascii="宋体" w:hAnsi="宋体" w:hint="eastAsia"/>
          <w:sz w:val="28"/>
          <w:szCs w:val="28"/>
        </w:rPr>
      </w:pPr>
      <w:r w:rsidRPr="009649EE">
        <w:rPr>
          <w:rFonts w:ascii="宋体" w:hAnsi="宋体" w:hint="eastAsia"/>
          <w:sz w:val="28"/>
          <w:szCs w:val="28"/>
        </w:rPr>
        <w:t>荣泰也在尝试。但荣泰比较谨慎，会先试错，争取保本。</w:t>
      </w:r>
      <w:bookmarkStart w:id="2" w:name="_GoBack"/>
      <w:bookmarkEnd w:id="2"/>
    </w:p>
    <w:sectPr w:rsidR="001E1807" w:rsidRPr="00BE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E6" w:rsidRDefault="006B28E6">
      <w:r>
        <w:separator/>
      </w:r>
    </w:p>
  </w:endnote>
  <w:endnote w:type="continuationSeparator" w:id="0">
    <w:p w:rsidR="006B28E6" w:rsidRDefault="006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E6" w:rsidRDefault="006B28E6">
      <w:r>
        <w:separator/>
      </w:r>
    </w:p>
  </w:footnote>
  <w:footnote w:type="continuationSeparator" w:id="0">
    <w:p w:rsidR="006B28E6" w:rsidRDefault="006B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9" w15:restartNumberingAfterBreak="0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3A"/>
    <w:rsid w:val="00015736"/>
    <w:rsid w:val="00015B5D"/>
    <w:rsid w:val="00025381"/>
    <w:rsid w:val="00044B14"/>
    <w:rsid w:val="00053635"/>
    <w:rsid w:val="00066591"/>
    <w:rsid w:val="00067D00"/>
    <w:rsid w:val="000872EE"/>
    <w:rsid w:val="000C2C97"/>
    <w:rsid w:val="00116DC5"/>
    <w:rsid w:val="001176F9"/>
    <w:rsid w:val="0015616E"/>
    <w:rsid w:val="00182528"/>
    <w:rsid w:val="00186E38"/>
    <w:rsid w:val="001B7DD3"/>
    <w:rsid w:val="001D057A"/>
    <w:rsid w:val="001D2FF3"/>
    <w:rsid w:val="001E1807"/>
    <w:rsid w:val="001E3304"/>
    <w:rsid w:val="001F5C0C"/>
    <w:rsid w:val="00205CB7"/>
    <w:rsid w:val="0024694B"/>
    <w:rsid w:val="00272959"/>
    <w:rsid w:val="0027502B"/>
    <w:rsid w:val="002759B9"/>
    <w:rsid w:val="00282FEA"/>
    <w:rsid w:val="00292124"/>
    <w:rsid w:val="002A4911"/>
    <w:rsid w:val="002A513D"/>
    <w:rsid w:val="002C47CF"/>
    <w:rsid w:val="002E40E2"/>
    <w:rsid w:val="002E7A60"/>
    <w:rsid w:val="00300A01"/>
    <w:rsid w:val="00302AC0"/>
    <w:rsid w:val="0032084C"/>
    <w:rsid w:val="00333054"/>
    <w:rsid w:val="0033664B"/>
    <w:rsid w:val="00363403"/>
    <w:rsid w:val="00366EB3"/>
    <w:rsid w:val="003806DA"/>
    <w:rsid w:val="0038790F"/>
    <w:rsid w:val="003A22E7"/>
    <w:rsid w:val="003A590C"/>
    <w:rsid w:val="003C26AE"/>
    <w:rsid w:val="003C52D3"/>
    <w:rsid w:val="003E12C6"/>
    <w:rsid w:val="003E52CB"/>
    <w:rsid w:val="004409DE"/>
    <w:rsid w:val="0049705C"/>
    <w:rsid w:val="004B6F97"/>
    <w:rsid w:val="004B74D7"/>
    <w:rsid w:val="004C04ED"/>
    <w:rsid w:val="004D31D7"/>
    <w:rsid w:val="004D7A2F"/>
    <w:rsid w:val="004F7982"/>
    <w:rsid w:val="005108BE"/>
    <w:rsid w:val="00522C52"/>
    <w:rsid w:val="00524622"/>
    <w:rsid w:val="00563D84"/>
    <w:rsid w:val="00593D7E"/>
    <w:rsid w:val="005C7109"/>
    <w:rsid w:val="005E6E50"/>
    <w:rsid w:val="006103D9"/>
    <w:rsid w:val="00614EA7"/>
    <w:rsid w:val="00646C3F"/>
    <w:rsid w:val="00682F0F"/>
    <w:rsid w:val="00694A6C"/>
    <w:rsid w:val="006B28E6"/>
    <w:rsid w:val="00703F65"/>
    <w:rsid w:val="00727614"/>
    <w:rsid w:val="00753AEB"/>
    <w:rsid w:val="00763B69"/>
    <w:rsid w:val="00797B74"/>
    <w:rsid w:val="007A1538"/>
    <w:rsid w:val="007F061C"/>
    <w:rsid w:val="007F2B2B"/>
    <w:rsid w:val="00813DCA"/>
    <w:rsid w:val="00815BA3"/>
    <w:rsid w:val="00870361"/>
    <w:rsid w:val="008826B9"/>
    <w:rsid w:val="00885967"/>
    <w:rsid w:val="00890941"/>
    <w:rsid w:val="00903739"/>
    <w:rsid w:val="00905F74"/>
    <w:rsid w:val="00906779"/>
    <w:rsid w:val="00953613"/>
    <w:rsid w:val="00954BB9"/>
    <w:rsid w:val="009649EE"/>
    <w:rsid w:val="00973146"/>
    <w:rsid w:val="00980512"/>
    <w:rsid w:val="009B2595"/>
    <w:rsid w:val="009B7D32"/>
    <w:rsid w:val="009C0134"/>
    <w:rsid w:val="009C4858"/>
    <w:rsid w:val="009E0E2D"/>
    <w:rsid w:val="00A01800"/>
    <w:rsid w:val="00A1645B"/>
    <w:rsid w:val="00A274DC"/>
    <w:rsid w:val="00A6448B"/>
    <w:rsid w:val="00A9392E"/>
    <w:rsid w:val="00A96359"/>
    <w:rsid w:val="00AB2C7F"/>
    <w:rsid w:val="00AD0DA2"/>
    <w:rsid w:val="00AE1D4B"/>
    <w:rsid w:val="00B03491"/>
    <w:rsid w:val="00B658F8"/>
    <w:rsid w:val="00BA153E"/>
    <w:rsid w:val="00BA3738"/>
    <w:rsid w:val="00BB055B"/>
    <w:rsid w:val="00BB14B8"/>
    <w:rsid w:val="00BC36AA"/>
    <w:rsid w:val="00BD2AE6"/>
    <w:rsid w:val="00BE416E"/>
    <w:rsid w:val="00BF49C9"/>
    <w:rsid w:val="00BF5682"/>
    <w:rsid w:val="00C27E4F"/>
    <w:rsid w:val="00C4562B"/>
    <w:rsid w:val="00C771FD"/>
    <w:rsid w:val="00C8743F"/>
    <w:rsid w:val="00C9065B"/>
    <w:rsid w:val="00CA1290"/>
    <w:rsid w:val="00CB1853"/>
    <w:rsid w:val="00CB25D3"/>
    <w:rsid w:val="00D12961"/>
    <w:rsid w:val="00D24858"/>
    <w:rsid w:val="00D253F6"/>
    <w:rsid w:val="00D33234"/>
    <w:rsid w:val="00D75914"/>
    <w:rsid w:val="00DC1E83"/>
    <w:rsid w:val="00DD7957"/>
    <w:rsid w:val="00DF6D3A"/>
    <w:rsid w:val="00E55714"/>
    <w:rsid w:val="00E60902"/>
    <w:rsid w:val="00E6586C"/>
    <w:rsid w:val="00E673AC"/>
    <w:rsid w:val="00EA0D15"/>
    <w:rsid w:val="00EB4573"/>
    <w:rsid w:val="00EE7B56"/>
    <w:rsid w:val="00F12624"/>
    <w:rsid w:val="00F136F2"/>
    <w:rsid w:val="00F246D6"/>
    <w:rsid w:val="00F3095D"/>
    <w:rsid w:val="00F44BA3"/>
    <w:rsid w:val="00F46F33"/>
    <w:rsid w:val="00F56ED9"/>
    <w:rsid w:val="00F92E54"/>
    <w:rsid w:val="00F976BE"/>
    <w:rsid w:val="00FB363B"/>
    <w:rsid w:val="00FB3770"/>
    <w:rsid w:val="00FB5186"/>
    <w:rsid w:val="00FC71AF"/>
    <w:rsid w:val="00FD5451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2103"/>
  <w15:docId w15:val="{88E835EC-9BC0-4AA0-B395-2DCA4C1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List Paragraph"/>
    <w:basedOn w:val="a"/>
    <w:uiPriority w:val="99"/>
    <w:rsid w:val="00BF5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rt</cp:lastModifiedBy>
  <cp:revision>76</cp:revision>
  <dcterms:created xsi:type="dcterms:W3CDTF">2017-04-27T22:03:00Z</dcterms:created>
  <dcterms:modified xsi:type="dcterms:W3CDTF">2017-06-08T01:17:00Z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