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3A" w:rsidRDefault="00067D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时间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731CC3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297F72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 w:rsidR="00DC1E83">
        <w:rPr>
          <w:sz w:val="28"/>
          <w:szCs w:val="28"/>
        </w:rPr>
        <w:t>1</w:t>
      </w:r>
      <w:r w:rsidR="008E4CC6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:</w:t>
      </w:r>
      <w:r w:rsidR="00731CC3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DF6D3A" w:rsidRPr="00FB363B" w:rsidRDefault="00067D00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地点</w:t>
      </w:r>
      <w:r>
        <w:rPr>
          <w:sz w:val="28"/>
          <w:szCs w:val="28"/>
        </w:rPr>
        <w:t>：</w:t>
      </w:r>
      <w:r w:rsidR="00297F72">
        <w:rPr>
          <w:rFonts w:hint="eastAsia"/>
          <w:sz w:val="28"/>
          <w:szCs w:val="28"/>
        </w:rPr>
        <w:t>上海国信紫金山大酒店</w:t>
      </w:r>
      <w:r>
        <w:rPr>
          <w:rFonts w:hint="eastAsia"/>
          <w:sz w:val="28"/>
          <w:szCs w:val="28"/>
        </w:rPr>
        <w:t xml:space="preserve">                              </w:t>
      </w:r>
    </w:p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调研机构</w:t>
      </w:r>
      <w:r>
        <w:rPr>
          <w:sz w:val="28"/>
          <w:szCs w:val="28"/>
        </w:rPr>
        <w:t>及人员：</w:t>
      </w:r>
    </w:p>
    <w:tbl>
      <w:tblPr>
        <w:tblW w:w="69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3880"/>
        <w:gridCol w:w="2000"/>
      </w:tblGrid>
      <w:tr w:rsidR="00890941" w:rsidRPr="00890941" w:rsidTr="00D66E7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890941" w:rsidRDefault="00890941" w:rsidP="008909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89094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890941" w:rsidRDefault="00F3095D" w:rsidP="00CB18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89094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890941" w:rsidRDefault="00F3095D" w:rsidP="00F3095D">
            <w:pPr>
              <w:widowControl/>
              <w:ind w:firstLineChars="100" w:firstLine="28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F3095D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D66E77" w:rsidRPr="00890941" w:rsidTr="00D66E7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E77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E77" w:rsidRDefault="008E4CC6" w:rsidP="0086550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嘉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实基金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E77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梁铭超</w:t>
            </w:r>
            <w:proofErr w:type="gramEnd"/>
          </w:p>
        </w:tc>
      </w:tr>
      <w:tr w:rsidR="00D66E77" w:rsidRPr="00890941" w:rsidTr="00D66E7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E77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E77" w:rsidRDefault="008E4CC6" w:rsidP="0086550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工银瑞信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E77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戴益强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华安基金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袁银泉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上投摩根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方钰涵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银华基金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刘宇尘、王翔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华夏基金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孙艺峻</w:t>
            </w:r>
            <w:proofErr w:type="gramEnd"/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平安养老保险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梁佩思</w:t>
            </w:r>
            <w:proofErr w:type="gramEnd"/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人寿养老保险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张金涛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西南证券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周平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国海富兰克林基金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赵宇烨</w:t>
            </w:r>
          </w:p>
        </w:tc>
      </w:tr>
      <w:tr w:rsidR="00297F72" w:rsidRPr="00890941" w:rsidTr="008E4CC6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太平资产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赵锋</w:t>
            </w:r>
          </w:p>
        </w:tc>
      </w:tr>
      <w:tr w:rsidR="008E4CC6" w:rsidRPr="00890941" w:rsidTr="008E4CC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CC6" w:rsidRDefault="008E4CC6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CC6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中融资产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C6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魏十里</w:t>
            </w:r>
          </w:p>
        </w:tc>
      </w:tr>
      <w:tr w:rsidR="008E4CC6" w:rsidRPr="00890941" w:rsidTr="008E4CC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CC6" w:rsidRDefault="008E4CC6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CC6" w:rsidRDefault="008E4CC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鹏华基金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C6" w:rsidRDefault="008E4CC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金笑非</w:t>
            </w:r>
          </w:p>
        </w:tc>
      </w:tr>
    </w:tbl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</w:t>
      </w:r>
      <w:r>
        <w:rPr>
          <w:sz w:val="28"/>
          <w:szCs w:val="28"/>
        </w:rPr>
        <w:t>人员：</w:t>
      </w:r>
      <w:bookmarkStart w:id="0" w:name="_Hlk482198680"/>
      <w:r>
        <w:rPr>
          <w:sz w:val="28"/>
          <w:szCs w:val="28"/>
        </w:rPr>
        <w:t>陈娟娟</w:t>
      </w:r>
      <w:bookmarkEnd w:id="0"/>
    </w:p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记录人</w:t>
      </w:r>
      <w:r>
        <w:rPr>
          <w:sz w:val="28"/>
          <w:szCs w:val="28"/>
        </w:rPr>
        <w:t>：</w:t>
      </w:r>
      <w:r w:rsidR="00890941">
        <w:rPr>
          <w:rFonts w:hint="eastAsia"/>
          <w:sz w:val="28"/>
          <w:szCs w:val="28"/>
        </w:rPr>
        <w:t>蒋蓓蓓</w:t>
      </w:r>
    </w:p>
    <w:p w:rsidR="00DF6D3A" w:rsidRDefault="00067D00">
      <w:r>
        <w:rPr>
          <w:rFonts w:hint="eastAsia"/>
          <w:sz w:val="28"/>
          <w:szCs w:val="28"/>
        </w:rPr>
        <w:t>四、会议内容</w:t>
      </w:r>
    </w:p>
    <w:p w:rsidR="009649EE" w:rsidRDefault="009649EE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公司证券事务代表陈娟娟女士</w:t>
      </w:r>
      <w:r w:rsidR="00980512">
        <w:rPr>
          <w:rFonts w:ascii="宋体" w:hAnsi="宋体" w:hint="eastAsia"/>
          <w:sz w:val="28"/>
          <w:szCs w:val="28"/>
        </w:rPr>
        <w:t>就</w:t>
      </w:r>
      <w:r w:rsidR="00F92E54">
        <w:rPr>
          <w:rFonts w:ascii="宋体" w:hAnsi="宋体" w:hint="eastAsia"/>
          <w:sz w:val="28"/>
          <w:szCs w:val="28"/>
        </w:rPr>
        <w:t>公司基本情况及</w:t>
      </w:r>
      <w:r w:rsidR="00980512">
        <w:rPr>
          <w:rFonts w:ascii="宋体" w:hAnsi="宋体" w:hint="eastAsia"/>
          <w:sz w:val="28"/>
          <w:szCs w:val="28"/>
        </w:rPr>
        <w:t>投资者关注的</w:t>
      </w:r>
      <w:r>
        <w:rPr>
          <w:rFonts w:ascii="宋体" w:hAnsi="宋体" w:hint="eastAsia"/>
          <w:sz w:val="28"/>
          <w:szCs w:val="28"/>
        </w:rPr>
        <w:t>内容进行了交流，具体交流情况如下：</w:t>
      </w:r>
    </w:p>
    <w:p w:rsidR="0053563B" w:rsidRDefault="0053563B" w:rsidP="0053563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834487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）投资者提问环节</w:t>
      </w:r>
    </w:p>
    <w:p w:rsidR="00834487" w:rsidRDefault="00834487" w:rsidP="0083448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、国内什么时候会达到一个爆发点</w:t>
      </w:r>
    </w:p>
    <w:p w:rsidR="00834487" w:rsidRDefault="00834487" w:rsidP="00834487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目前按摩椅在中国市场的保有率较低，我们希望通过教育、引导等方式来培育消费者。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从公司韩国客户BODY</w:t>
      </w:r>
      <w:r>
        <w:rPr>
          <w:rFonts w:ascii="宋体" w:hAnsi="宋体"/>
          <w:sz w:val="28"/>
          <w:szCs w:val="28"/>
        </w:rPr>
        <w:t xml:space="preserve"> FRIEND </w:t>
      </w:r>
      <w:r>
        <w:rPr>
          <w:rFonts w:ascii="宋体" w:hAnsi="宋体" w:hint="eastAsia"/>
          <w:sz w:val="28"/>
          <w:szCs w:val="28"/>
        </w:rPr>
        <w:t>来看市场是可以培育的。我们会依托广告、购物营销、聘请代言人、场景式营销等方式对消费者不断进行引导。荣泰从2016年3月开始铺设摩</w:t>
      </w:r>
      <w:proofErr w:type="gramStart"/>
      <w:r>
        <w:rPr>
          <w:rFonts w:ascii="宋体" w:hAnsi="宋体" w:hint="eastAsia"/>
          <w:sz w:val="28"/>
          <w:szCs w:val="28"/>
        </w:rPr>
        <w:t>摩</w:t>
      </w:r>
      <w:proofErr w:type="gramEnd"/>
      <w:r>
        <w:rPr>
          <w:rFonts w:ascii="宋体" w:hAnsi="宋体" w:hint="eastAsia"/>
          <w:sz w:val="28"/>
          <w:szCs w:val="28"/>
        </w:rPr>
        <w:t>哒，就是想充分利用闲暇等待时间让消费者体验按摩椅带来的舒适感，从而达到培育消费者的目的。</w:t>
      </w:r>
    </w:p>
    <w:p w:rsidR="00834487" w:rsidRDefault="00834487" w:rsidP="00834487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2、公司各个渠道的占比</w:t>
      </w:r>
    </w:p>
    <w:p w:rsidR="00834487" w:rsidRDefault="00834487" w:rsidP="00834487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直营：10%左右    电商：30%左右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经销商：60%左右</w:t>
      </w:r>
    </w:p>
    <w:p w:rsidR="00D9479C" w:rsidRDefault="00834487" w:rsidP="0083448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、公司外销的有哪些地方？</w:t>
      </w:r>
    </w:p>
    <w:p w:rsidR="00834487" w:rsidRDefault="00834487" w:rsidP="0083448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包括韩国、美国、东南亚、中东、欧洲等国家和地区。</w:t>
      </w:r>
    </w:p>
    <w:p w:rsidR="00834487" w:rsidRDefault="00834487" w:rsidP="00834487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9649EE">
        <w:rPr>
          <w:rFonts w:ascii="宋体" w:hAnsi="宋体" w:hint="eastAsia"/>
          <w:sz w:val="28"/>
          <w:szCs w:val="28"/>
        </w:rPr>
        <w:t>毛利率提升的原因是什么？</w:t>
      </w:r>
    </w:p>
    <w:p w:rsidR="00834487" w:rsidRPr="003E12C6" w:rsidRDefault="00834487" w:rsidP="00834487">
      <w:pPr>
        <w:ind w:firstLine="570"/>
        <w:rPr>
          <w:rFonts w:ascii="宋体" w:hAnsi="宋体"/>
          <w:sz w:val="28"/>
          <w:szCs w:val="28"/>
        </w:rPr>
      </w:pPr>
      <w:r w:rsidRPr="003E12C6">
        <w:rPr>
          <w:rFonts w:ascii="宋体" w:hAnsi="宋体" w:hint="eastAsia"/>
          <w:sz w:val="28"/>
          <w:szCs w:val="28"/>
        </w:rPr>
        <w:t>主要原因为产品结构的调整。按摩小件和按摩椅中，按摩小件的毛利率较低。2016年按摩小件的量占比低于10%，产品结构调整幅度很大。</w:t>
      </w:r>
    </w:p>
    <w:p w:rsidR="00834487" w:rsidRPr="003E12C6" w:rsidRDefault="00834487" w:rsidP="00834487">
      <w:pPr>
        <w:ind w:firstLine="570"/>
        <w:rPr>
          <w:rFonts w:ascii="宋体" w:hAnsi="宋体"/>
          <w:sz w:val="28"/>
          <w:szCs w:val="28"/>
        </w:rPr>
      </w:pPr>
      <w:r w:rsidRPr="003E12C6">
        <w:rPr>
          <w:rFonts w:ascii="宋体" w:hAnsi="宋体" w:hint="eastAsia"/>
          <w:sz w:val="28"/>
          <w:szCs w:val="28"/>
        </w:rPr>
        <w:t>美元升值带来了比较多的毛利增长。</w:t>
      </w:r>
    </w:p>
    <w:p w:rsidR="00834487" w:rsidRPr="003E12C6" w:rsidRDefault="00834487" w:rsidP="00834487">
      <w:pPr>
        <w:ind w:firstLine="570"/>
        <w:rPr>
          <w:rFonts w:ascii="宋体" w:hAnsi="宋体"/>
          <w:sz w:val="28"/>
          <w:szCs w:val="28"/>
        </w:rPr>
      </w:pPr>
      <w:r w:rsidRPr="003E12C6">
        <w:rPr>
          <w:rFonts w:ascii="宋体" w:hAnsi="宋体" w:hint="eastAsia"/>
          <w:sz w:val="28"/>
          <w:szCs w:val="28"/>
        </w:rPr>
        <w:t>公司内部管理提效。公司生产组织能力上了一个台阶，使成本得</w:t>
      </w:r>
      <w:r w:rsidRPr="003E12C6">
        <w:rPr>
          <w:rFonts w:ascii="宋体" w:hAnsi="宋体" w:hint="eastAsia"/>
          <w:sz w:val="28"/>
          <w:szCs w:val="28"/>
        </w:rPr>
        <w:lastRenderedPageBreak/>
        <w:t>到了有效的控制。</w:t>
      </w:r>
    </w:p>
    <w:p w:rsidR="00834487" w:rsidRPr="003E12C6" w:rsidRDefault="00834487" w:rsidP="00834487">
      <w:pPr>
        <w:ind w:firstLine="570"/>
        <w:rPr>
          <w:rFonts w:ascii="宋体" w:hAnsi="宋体"/>
          <w:sz w:val="28"/>
          <w:szCs w:val="28"/>
        </w:rPr>
      </w:pPr>
      <w:r w:rsidRPr="003E12C6">
        <w:rPr>
          <w:rFonts w:ascii="宋体" w:hAnsi="宋体" w:hint="eastAsia"/>
          <w:sz w:val="28"/>
          <w:szCs w:val="28"/>
        </w:rPr>
        <w:t>几个因素叠加，2016年毛利率有所提升。</w:t>
      </w:r>
    </w:p>
    <w:p w:rsidR="002F2D4F" w:rsidRDefault="00834487" w:rsidP="002F2D4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2F2D4F">
        <w:rPr>
          <w:rFonts w:ascii="宋体" w:hAnsi="宋体" w:hint="eastAsia"/>
          <w:sz w:val="28"/>
          <w:szCs w:val="28"/>
        </w:rPr>
        <w:t>公司产品的消费者都是哪些人群？</w:t>
      </w:r>
    </w:p>
    <w:p w:rsidR="002F2D4F" w:rsidRDefault="002F2D4F" w:rsidP="002F2D4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传统意义上中老年人使用按摩椅的居多，目前来看随着现代消费水平不断提升，按摩椅的购买从中老年向年轻化转移，年轻人购买的产品可以自己使用也可以送给父母 。</w:t>
      </w:r>
    </w:p>
    <w:p w:rsidR="00834487" w:rsidRDefault="002F2D4F" w:rsidP="0083448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</w:t>
      </w:r>
      <w:r w:rsidR="00ED1C12">
        <w:rPr>
          <w:rFonts w:ascii="宋体" w:hAnsi="宋体" w:hint="eastAsia"/>
          <w:sz w:val="28"/>
          <w:szCs w:val="28"/>
        </w:rPr>
        <w:t>南浔项目</w:t>
      </w:r>
      <w:r>
        <w:rPr>
          <w:rFonts w:ascii="宋体" w:hAnsi="宋体" w:hint="eastAsia"/>
          <w:sz w:val="28"/>
          <w:szCs w:val="28"/>
        </w:rPr>
        <w:t>产能情况</w:t>
      </w:r>
    </w:p>
    <w:p w:rsidR="002F2D4F" w:rsidRDefault="002F2D4F" w:rsidP="002F2D4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南浔项目实施完成后，公司按摩椅和按摩小件的产能将分别新增1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万台及43万台。</w:t>
      </w:r>
    </w:p>
    <w:p w:rsidR="00ED1C12" w:rsidRDefault="00ED1C12" w:rsidP="00ED1C1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、一季度外贸</w:t>
      </w:r>
      <w:proofErr w:type="gramStart"/>
      <w:r>
        <w:rPr>
          <w:rFonts w:ascii="宋体" w:hAnsi="宋体" w:hint="eastAsia"/>
          <w:sz w:val="28"/>
          <w:szCs w:val="28"/>
        </w:rPr>
        <w:t>没增长</w:t>
      </w:r>
      <w:proofErr w:type="gramEnd"/>
      <w:r>
        <w:rPr>
          <w:rFonts w:ascii="宋体" w:hAnsi="宋体" w:hint="eastAsia"/>
          <w:sz w:val="28"/>
          <w:szCs w:val="28"/>
        </w:rPr>
        <w:t>的原因</w:t>
      </w:r>
    </w:p>
    <w:p w:rsidR="00ED1C12" w:rsidRDefault="00ED1C12" w:rsidP="00ED1C1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主要原因是日本市场，由于此家日本客户主要订购的产品为按摩小</w:t>
      </w:r>
      <w:r w:rsidR="00A82B7E">
        <w:rPr>
          <w:rFonts w:ascii="宋体" w:hAnsi="宋体" w:hint="eastAsia"/>
          <w:sz w:val="28"/>
          <w:szCs w:val="28"/>
        </w:rPr>
        <w:t>件，但按摩小件的生命周期较短，更新换代快。</w:t>
      </w:r>
    </w:p>
    <w:p w:rsidR="002F2D4F" w:rsidRDefault="00ED1C12" w:rsidP="0083448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8、韩国客户向公司采购的按摩椅是在本国销售还是外销？</w:t>
      </w:r>
    </w:p>
    <w:p w:rsidR="00ED1C12" w:rsidRDefault="00ED1C12" w:rsidP="0083448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目前是在韩国销售。</w:t>
      </w:r>
    </w:p>
    <w:p w:rsidR="00ED1C12" w:rsidRDefault="00ED1C12" w:rsidP="00ED1C12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9、一季度国内增速的原因？</w:t>
      </w:r>
    </w:p>
    <w:p w:rsidR="00ED1C12" w:rsidRDefault="00ED1C12" w:rsidP="00ED1C12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共享按摩椅对消费者的教育，给大家带来了舒适的享受。现在消费者购买的意愿已经比以前高很多。还有一部分原因可能是公司今年年初上市，推广了品牌，扩大了知名度。</w:t>
      </w:r>
    </w:p>
    <w:p w:rsidR="003475A2" w:rsidRDefault="003475A2" w:rsidP="00ED1C12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10、公司生产有没有外协的情况？</w:t>
      </w:r>
    </w:p>
    <w:p w:rsidR="003475A2" w:rsidRPr="00A1645B" w:rsidRDefault="00A82B7E" w:rsidP="00ED1C12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有些工序如注塑、缝纫、开磨、喷漆等不涉及核心工艺技术的有外协</w:t>
      </w:r>
      <w:r w:rsidR="003475A2">
        <w:rPr>
          <w:rFonts w:ascii="宋体" w:hAnsi="宋体" w:hint="eastAsia"/>
          <w:sz w:val="28"/>
          <w:szCs w:val="28"/>
        </w:rPr>
        <w:t>。</w:t>
      </w:r>
    </w:p>
    <w:p w:rsidR="00ED1C12" w:rsidRDefault="003475A2" w:rsidP="0083448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</w:t>
      </w:r>
      <w:r w:rsidR="00ED1C12">
        <w:rPr>
          <w:rFonts w:ascii="宋体" w:hAnsi="宋体" w:hint="eastAsia"/>
          <w:sz w:val="28"/>
          <w:szCs w:val="28"/>
        </w:rPr>
        <w:t>、共享按摩椅的铺设情况及其会计处理？</w:t>
      </w:r>
    </w:p>
    <w:p w:rsidR="00ED1C12" w:rsidRDefault="00ED1C12" w:rsidP="00ED1C1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①、一季度铺设了5000台，截止一季度，累计铺设了15000台。</w:t>
      </w:r>
    </w:p>
    <w:p w:rsidR="00ED1C12" w:rsidRDefault="00ED1C12" w:rsidP="00ED1C1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②、</w:t>
      </w:r>
      <w:r w:rsidR="00A82B7E">
        <w:rPr>
          <w:rFonts w:ascii="宋体" w:hAnsi="宋体" w:hint="eastAsia"/>
          <w:sz w:val="28"/>
          <w:szCs w:val="28"/>
        </w:rPr>
        <w:t>荣泰</w:t>
      </w:r>
      <w:r w:rsidRPr="00ED1C12">
        <w:rPr>
          <w:rFonts w:ascii="宋体" w:hAnsi="宋体" w:hint="eastAsia"/>
          <w:sz w:val="28"/>
          <w:szCs w:val="28"/>
        </w:rPr>
        <w:t>产品销售给摩</w:t>
      </w:r>
      <w:proofErr w:type="gramStart"/>
      <w:r w:rsidRPr="00ED1C12">
        <w:rPr>
          <w:rFonts w:ascii="宋体" w:hAnsi="宋体" w:hint="eastAsia"/>
          <w:sz w:val="28"/>
          <w:szCs w:val="28"/>
        </w:rPr>
        <w:t>摩哒后</w:t>
      </w:r>
      <w:proofErr w:type="gramEnd"/>
      <w:r w:rsidRPr="00ED1C12">
        <w:rPr>
          <w:rFonts w:ascii="宋体" w:hAnsi="宋体" w:hint="eastAsia"/>
          <w:sz w:val="28"/>
          <w:szCs w:val="28"/>
        </w:rPr>
        <w:t>计入其资</w:t>
      </w:r>
      <w:r>
        <w:rPr>
          <w:rFonts w:ascii="宋体" w:hAnsi="宋体" w:hint="eastAsia"/>
          <w:sz w:val="28"/>
          <w:szCs w:val="28"/>
        </w:rPr>
        <w:t>产，</w:t>
      </w:r>
      <w:r w:rsidRPr="00ED1C12">
        <w:rPr>
          <w:rFonts w:ascii="宋体" w:hAnsi="宋体" w:hint="eastAsia"/>
          <w:sz w:val="28"/>
          <w:szCs w:val="28"/>
        </w:rPr>
        <w:t>分三年计提折旧</w:t>
      </w:r>
      <w:r>
        <w:rPr>
          <w:rFonts w:ascii="宋体" w:hAnsi="宋体" w:hint="eastAsia"/>
          <w:sz w:val="28"/>
          <w:szCs w:val="28"/>
        </w:rPr>
        <w:t>。</w:t>
      </w:r>
    </w:p>
    <w:p w:rsidR="00ED1C12" w:rsidRDefault="00ED1C12" w:rsidP="00ED1C1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3475A2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、摩</w:t>
      </w:r>
      <w:proofErr w:type="gramStart"/>
      <w:r>
        <w:rPr>
          <w:rFonts w:ascii="宋体" w:hAnsi="宋体" w:hint="eastAsia"/>
          <w:sz w:val="28"/>
          <w:szCs w:val="28"/>
        </w:rPr>
        <w:t>摩</w:t>
      </w:r>
      <w:proofErr w:type="gramEnd"/>
      <w:r>
        <w:rPr>
          <w:rFonts w:ascii="宋体" w:hAnsi="宋体" w:hint="eastAsia"/>
          <w:sz w:val="28"/>
          <w:szCs w:val="28"/>
        </w:rPr>
        <w:t>哒转化为销售的量为多少？</w:t>
      </w:r>
      <w:bookmarkStart w:id="1" w:name="_GoBack"/>
      <w:bookmarkEnd w:id="1"/>
    </w:p>
    <w:p w:rsidR="00ED1C12" w:rsidRDefault="00ED1C12" w:rsidP="00ED1C1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摩</w:t>
      </w:r>
      <w:proofErr w:type="gramStart"/>
      <w:r>
        <w:rPr>
          <w:rFonts w:ascii="宋体" w:hAnsi="宋体" w:hint="eastAsia"/>
          <w:sz w:val="28"/>
          <w:szCs w:val="28"/>
        </w:rPr>
        <w:t>摩</w:t>
      </w:r>
      <w:proofErr w:type="gramEnd"/>
      <w:r>
        <w:rPr>
          <w:rFonts w:ascii="宋体" w:hAnsi="宋体" w:hint="eastAsia"/>
          <w:sz w:val="28"/>
          <w:szCs w:val="28"/>
        </w:rPr>
        <w:t>哒后台系统有专门团队人员分析</w:t>
      </w:r>
      <w:r w:rsidR="00AB1F0C">
        <w:rPr>
          <w:rFonts w:ascii="宋体" w:hAnsi="宋体" w:hint="eastAsia"/>
          <w:sz w:val="28"/>
          <w:szCs w:val="28"/>
        </w:rPr>
        <w:t>数据。</w:t>
      </w:r>
    </w:p>
    <w:p w:rsidR="00AB1F0C" w:rsidRPr="00F56ED9" w:rsidRDefault="00AB1F0C" w:rsidP="00AB1F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3475A2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、韩国客户成功的原因？</w:t>
      </w:r>
    </w:p>
    <w:p w:rsidR="00AB1F0C" w:rsidRDefault="00AB1F0C" w:rsidP="00AB1F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我们的这家韩国在韩国深耕多年，并成功的</w:t>
      </w:r>
      <w:bookmarkStart w:id="2" w:name="_Hlk483206890"/>
      <w:r>
        <w:rPr>
          <w:rFonts w:ascii="宋体" w:hAnsi="宋体" w:hint="eastAsia"/>
          <w:sz w:val="28"/>
          <w:szCs w:val="28"/>
        </w:rPr>
        <w:t>将</w:t>
      </w:r>
      <w:r w:rsidRPr="000872EE">
        <w:rPr>
          <w:rFonts w:ascii="宋体" w:hAnsi="宋体" w:hint="eastAsia"/>
          <w:sz w:val="28"/>
          <w:szCs w:val="28"/>
        </w:rPr>
        <w:t>消费者向中高端引导</w:t>
      </w:r>
      <w:bookmarkEnd w:id="2"/>
      <w:r>
        <w:rPr>
          <w:rFonts w:ascii="宋体" w:hAnsi="宋体" w:hint="eastAsia"/>
          <w:sz w:val="28"/>
          <w:szCs w:val="28"/>
        </w:rPr>
        <w:t>。他们投入较大支出在广告和</w:t>
      </w:r>
      <w:r>
        <w:rPr>
          <w:rFonts w:ascii="宋体" w:hAnsi="宋体"/>
          <w:sz w:val="28"/>
          <w:szCs w:val="28"/>
        </w:rPr>
        <w:t>营销</w:t>
      </w:r>
      <w:r>
        <w:rPr>
          <w:rFonts w:ascii="宋体" w:hAnsi="宋体" w:hint="eastAsia"/>
          <w:sz w:val="28"/>
          <w:szCs w:val="28"/>
        </w:rPr>
        <w:t>上，并通过电视购物（在韩国电视购物较有影响力），聘请代言人等方式让消费者接受按摩椅，同时也开创了39期分期付款的方式打通了支付通道。而且韩国整体生活品质、消费水平较高。</w:t>
      </w:r>
    </w:p>
    <w:p w:rsidR="00AB1F0C" w:rsidRPr="00AB1F0C" w:rsidRDefault="00AB1F0C" w:rsidP="00AB1F0C">
      <w:pPr>
        <w:ind w:firstLineChars="200" w:firstLine="560"/>
        <w:rPr>
          <w:rFonts w:ascii="宋体" w:hAnsi="宋体"/>
          <w:sz w:val="28"/>
          <w:szCs w:val="28"/>
        </w:rPr>
      </w:pPr>
    </w:p>
    <w:sectPr w:rsidR="00AB1F0C" w:rsidRPr="00AB1F0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8E" w:rsidRDefault="00AA3F8E">
      <w:r>
        <w:separator/>
      </w:r>
    </w:p>
  </w:endnote>
  <w:endnote w:type="continuationSeparator" w:id="0">
    <w:p w:rsidR="00AA3F8E" w:rsidRDefault="00A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2B7E" w:rsidRPr="00A82B7E">
      <w:rPr>
        <w:noProof/>
        <w:lang w:val="zh-CN"/>
      </w:rPr>
      <w:t>4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8E" w:rsidRDefault="00AA3F8E">
      <w:r>
        <w:separator/>
      </w:r>
    </w:p>
  </w:footnote>
  <w:footnote w:type="continuationSeparator" w:id="0">
    <w:p w:rsidR="00AA3F8E" w:rsidRDefault="00AA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9" w15:restartNumberingAfterBreak="0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3A"/>
    <w:rsid w:val="00015736"/>
    <w:rsid w:val="00015B5D"/>
    <w:rsid w:val="0002051B"/>
    <w:rsid w:val="00025381"/>
    <w:rsid w:val="00044B14"/>
    <w:rsid w:val="00053635"/>
    <w:rsid w:val="00066591"/>
    <w:rsid w:val="00067D00"/>
    <w:rsid w:val="000872EE"/>
    <w:rsid w:val="000C2C97"/>
    <w:rsid w:val="00114C28"/>
    <w:rsid w:val="00116DC5"/>
    <w:rsid w:val="001176F9"/>
    <w:rsid w:val="0015616E"/>
    <w:rsid w:val="001725C2"/>
    <w:rsid w:val="00182528"/>
    <w:rsid w:val="00186E38"/>
    <w:rsid w:val="001B7DD3"/>
    <w:rsid w:val="001D057A"/>
    <w:rsid w:val="001D2FF3"/>
    <w:rsid w:val="001E1807"/>
    <w:rsid w:val="001E3304"/>
    <w:rsid w:val="00266B0E"/>
    <w:rsid w:val="00272959"/>
    <w:rsid w:val="0027502B"/>
    <w:rsid w:val="002759B9"/>
    <w:rsid w:val="00282FEA"/>
    <w:rsid w:val="00286100"/>
    <w:rsid w:val="00292124"/>
    <w:rsid w:val="00297F72"/>
    <w:rsid w:val="002A4911"/>
    <w:rsid w:val="002A513D"/>
    <w:rsid w:val="002C47CF"/>
    <w:rsid w:val="002F2D4F"/>
    <w:rsid w:val="00300A01"/>
    <w:rsid w:val="00302AC0"/>
    <w:rsid w:val="00312A76"/>
    <w:rsid w:val="0032084C"/>
    <w:rsid w:val="0033664B"/>
    <w:rsid w:val="003475A2"/>
    <w:rsid w:val="00363403"/>
    <w:rsid w:val="00366EB3"/>
    <w:rsid w:val="0037655C"/>
    <w:rsid w:val="003806DA"/>
    <w:rsid w:val="0038790F"/>
    <w:rsid w:val="003C26AE"/>
    <w:rsid w:val="003C52D3"/>
    <w:rsid w:val="003E12C6"/>
    <w:rsid w:val="003E52CB"/>
    <w:rsid w:val="00426841"/>
    <w:rsid w:val="004409DE"/>
    <w:rsid w:val="004475CD"/>
    <w:rsid w:val="0049705C"/>
    <w:rsid w:val="004A35FC"/>
    <w:rsid w:val="004B6F97"/>
    <w:rsid w:val="004B74D7"/>
    <w:rsid w:val="004C04ED"/>
    <w:rsid w:val="004D31D7"/>
    <w:rsid w:val="004F7982"/>
    <w:rsid w:val="005108BE"/>
    <w:rsid w:val="00522C52"/>
    <w:rsid w:val="00524622"/>
    <w:rsid w:val="0053563B"/>
    <w:rsid w:val="00563D84"/>
    <w:rsid w:val="00593D7E"/>
    <w:rsid w:val="005E6E50"/>
    <w:rsid w:val="00600C23"/>
    <w:rsid w:val="006103D9"/>
    <w:rsid w:val="00614EA7"/>
    <w:rsid w:val="00646C3F"/>
    <w:rsid w:val="00694A6C"/>
    <w:rsid w:val="00727614"/>
    <w:rsid w:val="00731CC3"/>
    <w:rsid w:val="00763B69"/>
    <w:rsid w:val="00774572"/>
    <w:rsid w:val="00797B74"/>
    <w:rsid w:val="007A1538"/>
    <w:rsid w:val="007F061C"/>
    <w:rsid w:val="007F2B2B"/>
    <w:rsid w:val="00815BA3"/>
    <w:rsid w:val="00834487"/>
    <w:rsid w:val="008407E3"/>
    <w:rsid w:val="00865503"/>
    <w:rsid w:val="00870361"/>
    <w:rsid w:val="00877D87"/>
    <w:rsid w:val="008826B9"/>
    <w:rsid w:val="00885967"/>
    <w:rsid w:val="00890941"/>
    <w:rsid w:val="008B7222"/>
    <w:rsid w:val="008E4CC6"/>
    <w:rsid w:val="008F6B6B"/>
    <w:rsid w:val="00903739"/>
    <w:rsid w:val="00905F74"/>
    <w:rsid w:val="00906779"/>
    <w:rsid w:val="00953613"/>
    <w:rsid w:val="00954BB9"/>
    <w:rsid w:val="009649EE"/>
    <w:rsid w:val="00973146"/>
    <w:rsid w:val="00980512"/>
    <w:rsid w:val="009B2595"/>
    <w:rsid w:val="009B7D32"/>
    <w:rsid w:val="009C0134"/>
    <w:rsid w:val="009C4858"/>
    <w:rsid w:val="009E0E2D"/>
    <w:rsid w:val="009E4725"/>
    <w:rsid w:val="00A01800"/>
    <w:rsid w:val="00A1645B"/>
    <w:rsid w:val="00A82B7E"/>
    <w:rsid w:val="00A96359"/>
    <w:rsid w:val="00AA3F8E"/>
    <w:rsid w:val="00AB1F0C"/>
    <w:rsid w:val="00AB2C7F"/>
    <w:rsid w:val="00AD0DA2"/>
    <w:rsid w:val="00AE1D4B"/>
    <w:rsid w:val="00B03491"/>
    <w:rsid w:val="00B12841"/>
    <w:rsid w:val="00BA3738"/>
    <w:rsid w:val="00BB055B"/>
    <w:rsid w:val="00BB14B8"/>
    <w:rsid w:val="00BD2AE6"/>
    <w:rsid w:val="00BF49C9"/>
    <w:rsid w:val="00BF5682"/>
    <w:rsid w:val="00C4562B"/>
    <w:rsid w:val="00C52E42"/>
    <w:rsid w:val="00C771FD"/>
    <w:rsid w:val="00C8743F"/>
    <w:rsid w:val="00CA1290"/>
    <w:rsid w:val="00CB1853"/>
    <w:rsid w:val="00CB25D3"/>
    <w:rsid w:val="00CB6763"/>
    <w:rsid w:val="00D12961"/>
    <w:rsid w:val="00D24858"/>
    <w:rsid w:val="00D253F6"/>
    <w:rsid w:val="00D33234"/>
    <w:rsid w:val="00D66E77"/>
    <w:rsid w:val="00D75914"/>
    <w:rsid w:val="00D825A7"/>
    <w:rsid w:val="00D9479C"/>
    <w:rsid w:val="00DC1E83"/>
    <w:rsid w:val="00DF6D3A"/>
    <w:rsid w:val="00E55714"/>
    <w:rsid w:val="00E60902"/>
    <w:rsid w:val="00E6586C"/>
    <w:rsid w:val="00EB4573"/>
    <w:rsid w:val="00ED1C12"/>
    <w:rsid w:val="00EE7B56"/>
    <w:rsid w:val="00F12624"/>
    <w:rsid w:val="00F25C3C"/>
    <w:rsid w:val="00F3095D"/>
    <w:rsid w:val="00F44BA3"/>
    <w:rsid w:val="00F46F33"/>
    <w:rsid w:val="00F56ED9"/>
    <w:rsid w:val="00F7786C"/>
    <w:rsid w:val="00F92E54"/>
    <w:rsid w:val="00F976BE"/>
    <w:rsid w:val="00FB363B"/>
    <w:rsid w:val="00FB3770"/>
    <w:rsid w:val="00FC71AF"/>
    <w:rsid w:val="00FD5451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835EC-9BC0-4AA0-B395-2DCA4C1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Samp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F0BB7-ACF2-42CF-A41D-98F8E90F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90</cp:revision>
  <dcterms:created xsi:type="dcterms:W3CDTF">2017-04-27T22:03:00Z</dcterms:created>
  <dcterms:modified xsi:type="dcterms:W3CDTF">2017-06-08T07:00:00Z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