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0" w:rsidRPr="00F80D33" w:rsidRDefault="00477F83" w:rsidP="00477F83">
      <w:pPr>
        <w:jc w:val="center"/>
        <w:rPr>
          <w:b/>
          <w:color w:val="000000" w:themeColor="text1"/>
          <w:sz w:val="32"/>
          <w:szCs w:val="24"/>
        </w:rPr>
      </w:pPr>
      <w:r w:rsidRPr="00F80D33">
        <w:rPr>
          <w:b/>
          <w:color w:val="000000" w:themeColor="text1"/>
          <w:sz w:val="32"/>
          <w:szCs w:val="24"/>
        </w:rPr>
        <w:t>四川水井坊股份有限公司</w:t>
      </w:r>
    </w:p>
    <w:p w:rsidR="00C32F1D" w:rsidRPr="00F80D33" w:rsidRDefault="00477F83" w:rsidP="00477F83">
      <w:pPr>
        <w:jc w:val="center"/>
        <w:rPr>
          <w:b/>
          <w:color w:val="000000" w:themeColor="text1"/>
          <w:sz w:val="32"/>
          <w:szCs w:val="24"/>
        </w:rPr>
      </w:pPr>
      <w:r w:rsidRPr="00F80D33">
        <w:rPr>
          <w:b/>
          <w:color w:val="000000" w:themeColor="text1"/>
          <w:sz w:val="32"/>
          <w:szCs w:val="24"/>
        </w:rPr>
        <w:t>投资者交流会纪要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80D33" w:rsidRPr="00F80D33" w:rsidTr="00BB7198">
        <w:trPr>
          <w:trHeight w:val="454"/>
        </w:trPr>
        <w:tc>
          <w:tcPr>
            <w:tcW w:w="4261" w:type="dxa"/>
          </w:tcPr>
          <w:p w:rsidR="00E32D6B" w:rsidRPr="00F80D33" w:rsidRDefault="00E32D6B" w:rsidP="00B52E4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日期：</w:t>
            </w:r>
            <w:r w:rsidRPr="00F80D33">
              <w:rPr>
                <w:color w:val="000000" w:themeColor="text1"/>
                <w:sz w:val="24"/>
                <w:szCs w:val="24"/>
              </w:rPr>
              <w:t>2017</w:t>
            </w:r>
            <w:r w:rsidRPr="00F80D33">
              <w:rPr>
                <w:color w:val="000000" w:themeColor="text1"/>
                <w:sz w:val="24"/>
                <w:szCs w:val="24"/>
              </w:rPr>
              <w:t>年</w:t>
            </w:r>
            <w:r w:rsidR="00B52E4E" w:rsidRPr="00F80D33">
              <w:rPr>
                <w:color w:val="000000" w:themeColor="text1"/>
                <w:sz w:val="24"/>
                <w:szCs w:val="24"/>
              </w:rPr>
              <w:t>7</w:t>
            </w:r>
            <w:r w:rsidRPr="00F80D33">
              <w:rPr>
                <w:color w:val="000000" w:themeColor="text1"/>
                <w:sz w:val="24"/>
                <w:szCs w:val="24"/>
              </w:rPr>
              <w:t>月</w:t>
            </w:r>
            <w:r w:rsidRPr="00F80D33">
              <w:rPr>
                <w:color w:val="000000" w:themeColor="text1"/>
                <w:sz w:val="24"/>
                <w:szCs w:val="24"/>
              </w:rPr>
              <w:t>2</w:t>
            </w:r>
            <w:r w:rsidR="00B52E4E" w:rsidRPr="00F80D33">
              <w:rPr>
                <w:color w:val="000000" w:themeColor="text1"/>
                <w:sz w:val="24"/>
                <w:szCs w:val="24"/>
              </w:rPr>
              <w:t>6</w:t>
            </w:r>
            <w:r w:rsidRPr="00F80D33">
              <w:rPr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261" w:type="dxa"/>
          </w:tcPr>
          <w:p w:rsidR="00E32D6B" w:rsidRPr="00F80D33" w:rsidRDefault="00E32D6B" w:rsidP="00B52E4E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时间</w:t>
            </w:r>
            <w:r w:rsidRPr="00F80D33">
              <w:rPr>
                <w:color w:val="000000" w:themeColor="text1"/>
                <w:sz w:val="24"/>
                <w:szCs w:val="24"/>
              </w:rPr>
              <w:t>：</w:t>
            </w:r>
            <w:r w:rsidR="00B52E4E" w:rsidRPr="00F80D33">
              <w:rPr>
                <w:color w:val="000000" w:themeColor="text1"/>
                <w:sz w:val="24"/>
                <w:szCs w:val="24"/>
              </w:rPr>
              <w:t>18</w:t>
            </w:r>
            <w:r w:rsidR="00673130" w:rsidRPr="00F80D33">
              <w:rPr>
                <w:color w:val="000000" w:themeColor="text1"/>
                <w:sz w:val="24"/>
                <w:szCs w:val="24"/>
              </w:rPr>
              <w:t>:00-1</w:t>
            </w:r>
            <w:r w:rsidR="00B52E4E" w:rsidRPr="00F80D33">
              <w:rPr>
                <w:color w:val="000000" w:themeColor="text1"/>
                <w:sz w:val="24"/>
                <w:szCs w:val="24"/>
              </w:rPr>
              <w:t>9</w:t>
            </w:r>
            <w:r w:rsidRPr="00F80D33">
              <w:rPr>
                <w:color w:val="000000" w:themeColor="text1"/>
                <w:sz w:val="24"/>
                <w:szCs w:val="24"/>
              </w:rPr>
              <w:t>:00</w:t>
            </w:r>
          </w:p>
        </w:tc>
      </w:tr>
      <w:tr w:rsidR="00F80D33" w:rsidRPr="00F80D33" w:rsidTr="00BB7198">
        <w:trPr>
          <w:trHeight w:val="454"/>
        </w:trPr>
        <w:tc>
          <w:tcPr>
            <w:tcW w:w="8522" w:type="dxa"/>
            <w:gridSpan w:val="2"/>
          </w:tcPr>
          <w:p w:rsidR="00E32D6B" w:rsidRPr="00F80D33" w:rsidRDefault="00E32D6B" w:rsidP="00E32D6B">
            <w:pPr>
              <w:tabs>
                <w:tab w:val="left" w:pos="1228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地点：</w:t>
            </w:r>
            <w:r w:rsidRPr="00F80D33">
              <w:rPr>
                <w:color w:val="000000" w:themeColor="text1"/>
                <w:sz w:val="24"/>
                <w:szCs w:val="24"/>
              </w:rPr>
              <w:t>四川水井坊股份有限公司</w:t>
            </w:r>
            <w:r w:rsidR="00673130" w:rsidRPr="00F80D33">
              <w:rPr>
                <w:color w:val="000000" w:themeColor="text1"/>
                <w:sz w:val="24"/>
                <w:szCs w:val="24"/>
              </w:rPr>
              <w:t>五楼会议室</w:t>
            </w:r>
          </w:p>
        </w:tc>
      </w:tr>
      <w:tr w:rsidR="00F80D33" w:rsidRPr="00F80D33" w:rsidTr="00BB7198">
        <w:trPr>
          <w:trHeight w:val="454"/>
        </w:trPr>
        <w:tc>
          <w:tcPr>
            <w:tcW w:w="8522" w:type="dxa"/>
            <w:gridSpan w:val="2"/>
          </w:tcPr>
          <w:p w:rsidR="00E32D6B" w:rsidRPr="00F80D33" w:rsidRDefault="00E32D6B" w:rsidP="00E32D6B">
            <w:pPr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接待人职务及姓名：</w:t>
            </w:r>
          </w:p>
          <w:p w:rsidR="00E32D6B" w:rsidRPr="00F80D33" w:rsidRDefault="00E32D6B" w:rsidP="00673130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80D33">
              <w:rPr>
                <w:color w:val="000000" w:themeColor="text1"/>
                <w:sz w:val="24"/>
                <w:szCs w:val="24"/>
              </w:rPr>
              <w:t>总经理范祥福先生、财务总监何荣辉先生、董秘田冀东先生、证代张薷尹</w:t>
            </w:r>
            <w:r w:rsidR="00477F83" w:rsidRPr="00F80D33">
              <w:rPr>
                <w:color w:val="000000" w:themeColor="text1"/>
                <w:sz w:val="24"/>
                <w:szCs w:val="24"/>
              </w:rPr>
              <w:t>女士</w:t>
            </w:r>
          </w:p>
        </w:tc>
      </w:tr>
      <w:tr w:rsidR="00F80D33" w:rsidRPr="00F80D33" w:rsidTr="00BB7198">
        <w:trPr>
          <w:trHeight w:val="4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B" w:rsidRPr="00F80D33" w:rsidRDefault="00E32D6B" w:rsidP="00673130">
            <w:pPr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形式：</w:t>
            </w:r>
            <w:r w:rsidRPr="00F80D33">
              <w:rPr>
                <w:color w:val="000000" w:themeColor="text1"/>
                <w:sz w:val="24"/>
                <w:szCs w:val="24"/>
              </w:rPr>
              <w:t>电话会议</w:t>
            </w:r>
          </w:p>
        </w:tc>
      </w:tr>
      <w:tr w:rsidR="00F80D33" w:rsidRPr="00F80D33" w:rsidTr="00231359">
        <w:trPr>
          <w:trHeight w:val="454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0" w:rsidRPr="00F80D33" w:rsidRDefault="00673130" w:rsidP="005B2B67">
            <w:pPr>
              <w:spacing w:line="36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参会人员：</w:t>
            </w:r>
            <w:r w:rsidRPr="00F80D33">
              <w:rPr>
                <w:color w:val="000000" w:themeColor="text1"/>
                <w:sz w:val="24"/>
                <w:szCs w:val="24"/>
              </w:rPr>
              <w:t>西南证券、长江证券、</w:t>
            </w:r>
            <w:r w:rsidR="005B2B67" w:rsidRPr="00F80D33">
              <w:rPr>
                <w:color w:val="000000" w:themeColor="text1"/>
                <w:sz w:val="24"/>
                <w:szCs w:val="24"/>
              </w:rPr>
              <w:t>中银证券、</w:t>
            </w:r>
            <w:r w:rsidRPr="00F80D33">
              <w:rPr>
                <w:color w:val="000000" w:themeColor="text1"/>
                <w:sz w:val="24"/>
                <w:szCs w:val="24"/>
              </w:rPr>
              <w:t>申万证券等</w:t>
            </w:r>
            <w:r w:rsidRPr="00F80D33">
              <w:rPr>
                <w:color w:val="000000" w:themeColor="text1"/>
                <w:sz w:val="24"/>
                <w:szCs w:val="24"/>
              </w:rPr>
              <w:t>2</w:t>
            </w:r>
            <w:r w:rsidR="00B52E4E" w:rsidRPr="00F80D33">
              <w:rPr>
                <w:color w:val="000000" w:themeColor="text1"/>
                <w:sz w:val="24"/>
                <w:szCs w:val="24"/>
              </w:rPr>
              <w:t>8</w:t>
            </w:r>
            <w:r w:rsidR="00BB601F" w:rsidRPr="00F80D33">
              <w:rPr>
                <w:color w:val="000000" w:themeColor="text1"/>
                <w:sz w:val="24"/>
                <w:szCs w:val="24"/>
              </w:rPr>
              <w:t>0</w:t>
            </w:r>
            <w:r w:rsidR="00BB601F" w:rsidRPr="00F80D33">
              <w:rPr>
                <w:color w:val="000000" w:themeColor="text1"/>
                <w:sz w:val="24"/>
                <w:szCs w:val="24"/>
              </w:rPr>
              <w:t>余</w:t>
            </w:r>
            <w:r w:rsidRPr="00F80D33">
              <w:rPr>
                <w:color w:val="000000" w:themeColor="text1"/>
                <w:sz w:val="24"/>
                <w:szCs w:val="24"/>
              </w:rPr>
              <w:t>人</w:t>
            </w:r>
          </w:p>
        </w:tc>
      </w:tr>
      <w:tr w:rsidR="00F80D33" w:rsidRPr="00F80D33" w:rsidTr="005A6441">
        <w:trPr>
          <w:trHeight w:val="3676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3F99" w:rsidRPr="00F80D33" w:rsidRDefault="00E32D6B" w:rsidP="00DC2F74">
            <w:pPr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主要内容：</w:t>
            </w:r>
          </w:p>
          <w:p w:rsidR="005A6441" w:rsidRPr="00F80D33" w:rsidRDefault="005A6441" w:rsidP="00DC2F74">
            <w:pPr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80D33">
              <w:rPr>
                <w:b/>
                <w:color w:val="000000" w:themeColor="text1"/>
                <w:sz w:val="24"/>
                <w:szCs w:val="24"/>
              </w:rPr>
              <w:t>一、</w:t>
            </w:r>
            <w:r w:rsidR="00E35983" w:rsidRPr="00F80D33">
              <w:rPr>
                <w:b/>
                <w:color w:val="000000" w:themeColor="text1"/>
                <w:sz w:val="24"/>
                <w:szCs w:val="24"/>
              </w:rPr>
              <w:t>公司领导</w:t>
            </w:r>
            <w:r w:rsidRPr="00F80D33">
              <w:rPr>
                <w:b/>
                <w:color w:val="000000" w:themeColor="text1"/>
                <w:sz w:val="24"/>
                <w:szCs w:val="24"/>
              </w:rPr>
              <w:t>就</w:t>
            </w:r>
            <w:r w:rsidRPr="00F80D33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BA6F87" w:rsidRPr="00F80D33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BA6F87" w:rsidRPr="00F80D33">
              <w:rPr>
                <w:b/>
                <w:color w:val="000000" w:themeColor="text1"/>
                <w:sz w:val="24"/>
                <w:szCs w:val="24"/>
              </w:rPr>
              <w:t>上半年</w:t>
            </w:r>
            <w:r w:rsidRPr="00F80D33">
              <w:rPr>
                <w:b/>
                <w:color w:val="000000" w:themeColor="text1"/>
                <w:sz w:val="24"/>
                <w:szCs w:val="24"/>
              </w:rPr>
              <w:t>业绩做解读：</w:t>
            </w:r>
          </w:p>
          <w:p w:rsidR="00BA6F87" w:rsidRPr="00F80D33" w:rsidRDefault="00BA6F8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B059DF" w:rsidRPr="00F80D33" w:rsidRDefault="00E36D8C" w:rsidP="00DC2F74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b/>
                <w:bCs/>
                <w:color w:val="000000" w:themeColor="text1"/>
                <w:kern w:val="0"/>
                <w:sz w:val="24"/>
                <w:szCs w:val="24"/>
              </w:rPr>
              <w:t>背景：</w:t>
            </w:r>
            <w:r w:rsidR="00760CD7" w:rsidRPr="00F80D33">
              <w:rPr>
                <w:rFonts w:eastAsia="宋体" w:cs="Helvetica"/>
                <w:b/>
                <w:bCs/>
                <w:color w:val="000000" w:themeColor="text1"/>
                <w:kern w:val="0"/>
                <w:sz w:val="24"/>
                <w:szCs w:val="24"/>
              </w:rPr>
              <w:t>白酒依然是目前国内酒类酿造行业规模最大及恢复增长的</w:t>
            </w:r>
            <w:r w:rsidR="0077239A" w:rsidRPr="00F80D33">
              <w:rPr>
                <w:rFonts w:eastAsia="宋体" w:cs="Helvetica"/>
                <w:b/>
                <w:bCs/>
                <w:color w:val="000000" w:themeColor="text1"/>
                <w:kern w:val="0"/>
                <w:sz w:val="24"/>
                <w:szCs w:val="24"/>
              </w:rPr>
              <w:t>板块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152DEB" w:rsidRPr="00F80D33" w:rsidRDefault="00760CD7" w:rsidP="00DC2F74">
            <w:pPr>
              <w:spacing w:line="276" w:lineRule="auto"/>
              <w:ind w:firstLineChars="200" w:firstLine="480"/>
              <w:rPr>
                <w:rFonts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2015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年白酒</w:t>
            </w:r>
            <w:r w:rsidR="0077239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销售额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在所有酒类中占比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74%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年占比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76%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F60BB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市场</w:t>
            </w:r>
            <w:r w:rsidR="00242B07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销售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增长</w:t>
            </w:r>
            <w:r w:rsidR="00F60BB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约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10%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。</w:t>
            </w:r>
            <w:r w:rsidR="006C36B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其中，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高端白酒</w:t>
            </w:r>
            <w:r w:rsidR="00346C6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板块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（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500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元以上）增长</w:t>
            </w:r>
            <w:r w:rsidR="00346C6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最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快，</w:t>
            </w:r>
            <w:r w:rsidR="006C36B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达到</w:t>
            </w:r>
            <w:r w:rsidR="006C36B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15.8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%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6C36B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其市场容量在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年达到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550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亿元，</w:t>
            </w:r>
            <w:r w:rsidR="006C36B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而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水井坊今年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3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月份推出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的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典藏</w:t>
            </w:r>
            <w:r w:rsidR="006C36BE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大师版就</w:t>
            </w:r>
            <w:proofErr w:type="gramStart"/>
            <w:r w:rsidR="0077239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在此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板块</w:t>
            </w:r>
            <w:proofErr w:type="gramEnd"/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竞争；中高端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白酒板块（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300-500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元）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增长</w:t>
            </w:r>
            <w:r w:rsidR="00F60BB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也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较快，达到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10%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，水井坊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两款核心产品井台装及</w:t>
            </w:r>
            <w:proofErr w:type="gramStart"/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臻</w:t>
            </w:r>
            <w:proofErr w:type="gramEnd"/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酿八号</w:t>
            </w:r>
            <w:r w:rsidR="00F60BB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皆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处于此价格带；中端白酒板块（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100-300</w:t>
            </w:r>
            <w:r w:rsidR="00152DEB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元）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增长</w:t>
            </w:r>
            <w:r w:rsidR="00F60BB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约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7.3%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77239A" w:rsidRPr="00F80D33" w:rsidRDefault="0077239A" w:rsidP="00DC2F74">
            <w:pPr>
              <w:widowControl/>
              <w:spacing w:line="276" w:lineRule="auto"/>
              <w:ind w:firstLineChars="150" w:firstLine="360"/>
              <w:jc w:val="left"/>
              <w:rPr>
                <w:rFonts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水井坊主要聚焦中高端和高端板块，这两个板块在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年呈现双位数增长，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年目前来看，远高于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10%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增长，增长迅速。</w:t>
            </w:r>
          </w:p>
          <w:p w:rsidR="0077239A" w:rsidRPr="00F80D33" w:rsidRDefault="0077239A" w:rsidP="00DC2F74">
            <w:pPr>
              <w:widowControl/>
              <w:spacing w:line="276" w:lineRule="auto"/>
              <w:ind w:firstLineChars="150" w:firstLine="360"/>
              <w:jc w:val="left"/>
              <w:rPr>
                <w:rFonts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目前水井坊在中高端市场占有率</w:t>
            </w:r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仅为</w:t>
            </w:r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4%</w:t>
            </w:r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左右，且水井坊覆盖的市场当中也有小于</w:t>
            </w:r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4%</w:t>
            </w:r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的地区，仍有较大的成长空间，再加上整个中</w:t>
            </w:r>
            <w:proofErr w:type="gramStart"/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高端板块</w:t>
            </w:r>
            <w:proofErr w:type="gramEnd"/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呈现双位数的高增长，</w:t>
            </w:r>
            <w:r w:rsidR="00F60BBA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故</w:t>
            </w:r>
            <w:r w:rsidR="00E36D8C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今后水井坊的增长潜力巨大。</w:t>
            </w:r>
          </w:p>
          <w:p w:rsidR="00E36D8C" w:rsidRPr="00F80D33" w:rsidRDefault="00E36D8C" w:rsidP="00DC2F74">
            <w:pPr>
              <w:spacing w:line="276" w:lineRule="auto"/>
              <w:ind w:firstLineChars="150" w:firstLine="360"/>
              <w:rPr>
                <w:rFonts w:cs="Helvetica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（</w:t>
            </w:r>
            <w:r w:rsidRPr="00F80D33">
              <w:rPr>
                <w:rFonts w:cs="Helvetica"/>
                <w:bCs/>
                <w:i/>
                <w:iCs/>
                <w:color w:val="000000" w:themeColor="text1"/>
                <w:sz w:val="24"/>
                <w:szCs w:val="24"/>
              </w:rPr>
              <w:t>数据来源：白酒零售额数据源于酒业协会，</w:t>
            </w:r>
            <w:r w:rsidRPr="00F80D33">
              <w:rPr>
                <w:rFonts w:cs="Helvetica"/>
                <w:bCs/>
                <w:i/>
                <w:iCs/>
                <w:color w:val="000000" w:themeColor="text1"/>
                <w:sz w:val="24"/>
                <w:szCs w:val="24"/>
              </w:rPr>
              <w:t>IWSR</w:t>
            </w:r>
            <w:r w:rsidR="00300C5D" w:rsidRPr="00F80D33">
              <w:rPr>
                <w:rFonts w:cs="Helvetica"/>
                <w:bCs/>
                <w:i/>
                <w:iCs/>
                <w:color w:val="000000" w:themeColor="text1"/>
                <w:sz w:val="24"/>
                <w:szCs w:val="24"/>
              </w:rPr>
              <w:t>，中</w:t>
            </w:r>
            <w:proofErr w:type="gramStart"/>
            <w:r w:rsidR="00300C5D" w:rsidRPr="00F80D33">
              <w:rPr>
                <w:rFonts w:cs="Helvetica"/>
                <w:bCs/>
                <w:i/>
                <w:iCs/>
                <w:color w:val="000000" w:themeColor="text1"/>
                <w:sz w:val="24"/>
                <w:szCs w:val="24"/>
              </w:rPr>
              <w:t>研</w:t>
            </w:r>
            <w:proofErr w:type="gramEnd"/>
            <w:r w:rsidR="00300C5D" w:rsidRPr="00F80D33">
              <w:rPr>
                <w:rFonts w:cs="Helvetica"/>
                <w:bCs/>
                <w:i/>
                <w:iCs/>
                <w:color w:val="000000" w:themeColor="text1"/>
                <w:sz w:val="24"/>
                <w:szCs w:val="24"/>
              </w:rPr>
              <w:t>普华</w:t>
            </w:r>
            <w:r w:rsidRPr="00F80D33">
              <w:rPr>
                <w:rFonts w:cs="Helvetica"/>
                <w:bCs/>
                <w:i/>
                <w:iCs/>
                <w:color w:val="000000" w:themeColor="text1"/>
                <w:sz w:val="24"/>
                <w:szCs w:val="24"/>
              </w:rPr>
              <w:t>）</w:t>
            </w:r>
          </w:p>
          <w:p w:rsidR="00E36D8C" w:rsidRPr="00F80D33" w:rsidRDefault="00E36D8C" w:rsidP="00DC2F74">
            <w:pPr>
              <w:widowControl/>
              <w:spacing w:line="276" w:lineRule="auto"/>
              <w:ind w:firstLineChars="150" w:firstLine="360"/>
              <w:jc w:val="left"/>
              <w:rPr>
                <w:rFonts w:cs="Helvetica"/>
                <w:color w:val="000000" w:themeColor="text1"/>
                <w:kern w:val="0"/>
                <w:sz w:val="24"/>
                <w:szCs w:val="24"/>
              </w:rPr>
            </w:pPr>
          </w:p>
          <w:p w:rsidR="0077239A" w:rsidRPr="00F80D33" w:rsidRDefault="0077239A" w:rsidP="00DC2F74">
            <w:pPr>
              <w:widowControl/>
              <w:spacing w:line="276" w:lineRule="auto"/>
              <w:jc w:val="left"/>
              <w:rPr>
                <w:rFonts w:eastAsia="宋体" w:cs="Helvetica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:rsidR="00760CD7" w:rsidRPr="00F80D33" w:rsidRDefault="00760CD7" w:rsidP="00DC2F74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left"/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年第二季度业绩</w:t>
            </w:r>
            <w:r w:rsidR="00527EE1"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概况</w:t>
            </w:r>
            <w:r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641CCB" w:rsidRPr="00F80D33" w:rsidRDefault="00E36D8C" w:rsidP="00DC2F74">
            <w:pPr>
              <w:pStyle w:val="a3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第二季度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同比增长：销量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105%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，收入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130%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，毛利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147%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，营业利润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71%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，税后利润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74%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641CCB" w:rsidRPr="00F80D33" w:rsidRDefault="00641CCB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760CD7" w:rsidRPr="00F80D33" w:rsidRDefault="00760CD7" w:rsidP="00DC2F74">
            <w:pPr>
              <w:pStyle w:val="a3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二季度</w:t>
            </w:r>
            <w:r w:rsidR="00641CC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虽</w:t>
            </w:r>
            <w:r w:rsidR="00E36D8C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为白酒行业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传统淡季，</w:t>
            </w:r>
            <w:r w:rsidR="00E36D8C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但</w:t>
            </w:r>
            <w:r w:rsidR="00F60BBA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销售表现超出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公司预计，</w:t>
            </w:r>
            <w:r w:rsidR="00E36D8C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其主要因素为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促销费用</w:t>
            </w:r>
            <w:r w:rsidR="00E36D8C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及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广告费用支出达到预期的结果。</w:t>
            </w:r>
          </w:p>
          <w:p w:rsidR="00E36D8C" w:rsidRPr="00F80D33" w:rsidRDefault="00E36D8C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C1559A" w:rsidRPr="00F80D33" w:rsidRDefault="00E36D8C" w:rsidP="00DC2F74">
            <w:pPr>
              <w:pStyle w:val="a3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销售收入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同比增长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130%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，得益于渠道扩张、市场推广费用的加大、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12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月核心品的提价以及核心品占比的提升</w:t>
            </w:r>
            <w:r w:rsidR="00F60BBA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收入的增长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得益于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市场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支持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投入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lastRenderedPageBreak/>
              <w:t>的加大，</w:t>
            </w:r>
            <w:r w:rsidR="00F60BBA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虽然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市场投入翻倍，而投入率</w:t>
            </w:r>
            <w:r w:rsidR="00F60BBA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依然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维持在合理水平，</w:t>
            </w:r>
            <w:r w:rsidR="00F60BBA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并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进一步推动销售的持续</w:t>
            </w:r>
            <w:r w:rsidR="00034A4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增长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710165" w:rsidRPr="00F80D33" w:rsidRDefault="00710165" w:rsidP="00DC2F74">
            <w:pPr>
              <w:pStyle w:val="a3"/>
              <w:spacing w:line="276" w:lineRule="auto"/>
              <w:ind w:firstLine="480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C1559A" w:rsidRPr="00F80D33" w:rsidRDefault="00034A48" w:rsidP="00DC2F74">
            <w:pPr>
              <w:pStyle w:val="a3"/>
              <w:widowControl/>
              <w:numPr>
                <w:ilvl w:val="0"/>
                <w:numId w:val="33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特殊影响：</w:t>
            </w:r>
            <w:r w:rsidR="00242B0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9</w:t>
            </w:r>
            <w:r w:rsidR="00242B0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</w:t>
            </w:r>
            <w:r w:rsidR="00242B0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00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万存货减值以及自</w:t>
            </w:r>
            <w:r w:rsidR="00300C5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="00300C5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日增加消费税缴纳金额；尽管存在减值及消费税增加，然而得益于规模的扩大，盈利能力仍然有所提升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税后净利润同比增长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74%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去除存货减值因素的税后净利润增速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较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快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但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也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是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因</w:t>
            </w:r>
            <w:r w:rsidR="0071016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为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年二季度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同比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基数较低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710165" w:rsidRPr="00F80D33" w:rsidRDefault="00710165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710165" w:rsidRPr="00F80D33" w:rsidRDefault="00527EE1" w:rsidP="00DC2F74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left"/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年第二季度业绩</w:t>
            </w:r>
            <w:r w:rsidR="0003148D"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关键指标解读</w:t>
            </w:r>
            <w:r w:rsidRPr="00F80D33">
              <w:rPr>
                <w:rFonts w:eastAsia="宋体" w:cs="Helvetica"/>
                <w:b/>
                <w:color w:val="000000" w:themeColor="text1"/>
                <w:kern w:val="0"/>
                <w:sz w:val="24"/>
                <w:szCs w:val="24"/>
              </w:rPr>
              <w:t>：</w:t>
            </w:r>
          </w:p>
          <w:p w:rsidR="00760CD7" w:rsidRPr="00F80D33" w:rsidRDefault="00DD1BBB" w:rsidP="00DC2F74">
            <w:pPr>
              <w:pStyle w:val="a3"/>
              <w:widowControl/>
              <w:numPr>
                <w:ilvl w:val="0"/>
                <w:numId w:val="41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年第二季度销量高增长的原因</w:t>
            </w:r>
            <w:r w:rsidR="00A91E1F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有：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一、整个中</w:t>
            </w:r>
            <w:proofErr w:type="gramStart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高端板块</w:t>
            </w:r>
            <w:proofErr w:type="gramEnd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本身增长</w:t>
            </w:r>
            <w:r w:rsidR="00242B0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快速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；二、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="00242B0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年二季度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基数比较低</w:t>
            </w:r>
            <w:r w:rsidR="00300C5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水井坊的改革于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4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日开始启动，直到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年三季度全面推行，</w:t>
            </w:r>
            <w:proofErr w:type="gramStart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故资源</w:t>
            </w:r>
            <w:proofErr w:type="gramEnd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投放和政策改变的效果</w:t>
            </w:r>
            <w:r w:rsidR="000D4D5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在</w:t>
            </w:r>
            <w:r w:rsidR="000D4D5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="000D4D5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年第二季度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还未全面反映；三、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核心门</w:t>
            </w:r>
            <w:proofErr w:type="gramStart"/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店</w:t>
            </w:r>
            <w:r w:rsidR="00A91E1F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项目</w:t>
            </w:r>
            <w:proofErr w:type="gramEnd"/>
            <w:r w:rsidR="00A91E1F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自</w:t>
            </w:r>
            <w:r w:rsidR="00A91E1F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6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月份</w:t>
            </w:r>
            <w:r w:rsidR="00A91E1F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启动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至今，愈发成熟，核心门店数量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大幅提升；产品</w:t>
            </w:r>
            <w:proofErr w:type="gramStart"/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铺市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率</w:t>
            </w:r>
            <w:proofErr w:type="gramEnd"/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有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比较大的增长，门店销售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持续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增加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；四、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白酒行业第二季度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为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淡季，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故水井坊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年第二季度在费用投入上基数较低，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月份</w:t>
            </w:r>
            <w:proofErr w:type="gramStart"/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水井坊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推出典</w:t>
            </w:r>
            <w:proofErr w:type="gramEnd"/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藏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大师版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所以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第二季度线上线</w:t>
            </w:r>
            <w:proofErr w:type="gramStart"/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下费用</w:t>
            </w:r>
            <w:proofErr w:type="gramEnd"/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销售大幅增加，比去年同期</w:t>
            </w:r>
            <w:bookmarkStart w:id="0" w:name="_GoBack"/>
            <w:bookmarkEnd w:id="0"/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增幅较大，同时也提升了水井坊的知名度、试饮率等；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五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、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新典藏上市</w:t>
            </w:r>
            <w:proofErr w:type="gramStart"/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的铺市及</w:t>
            </w:r>
            <w:proofErr w:type="gramEnd"/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动销也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对第二季度的业绩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带来正面的影响；六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、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销售人员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增加</w:t>
            </w:r>
            <w:r w:rsidR="00527EE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以及经销商较高的积极性也是带来二季度高增长的原因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527EE1" w:rsidRPr="00F80D33" w:rsidRDefault="00527EE1" w:rsidP="00DC2F74">
            <w:pPr>
              <w:pStyle w:val="a3"/>
              <w:spacing w:line="276" w:lineRule="auto"/>
              <w:ind w:firstLine="480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760CD7" w:rsidRPr="00F80D33" w:rsidRDefault="00760CD7" w:rsidP="00DC2F74">
            <w:pPr>
              <w:pStyle w:val="a3"/>
              <w:widowControl/>
              <w:numPr>
                <w:ilvl w:val="0"/>
                <w:numId w:val="41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税金及附加：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17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第二季度营业税金及附加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7500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万元，比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16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大幅增加，主要是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由于自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月开始，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消费税税基有调整，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导致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消费税支出上升；今年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7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月初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水井</w:t>
            </w:r>
            <w:proofErr w:type="gramStart"/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坊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公布</w:t>
            </w:r>
            <w:proofErr w:type="gramEnd"/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了核心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产品提价，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与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税金综合来看，提价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带来的利润增长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目前还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不能够完全覆盖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整个税金增加带来的财务影响。</w:t>
            </w:r>
          </w:p>
          <w:p w:rsidR="0003148D" w:rsidRPr="00F80D33" w:rsidRDefault="0003148D" w:rsidP="00DC2F74">
            <w:pPr>
              <w:pStyle w:val="a3"/>
              <w:spacing w:line="276" w:lineRule="auto"/>
              <w:ind w:firstLine="480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760CD7" w:rsidRPr="00F80D33" w:rsidRDefault="00760CD7" w:rsidP="00DC2F74">
            <w:pPr>
              <w:pStyle w:val="a3"/>
              <w:widowControl/>
              <w:numPr>
                <w:ilvl w:val="0"/>
                <w:numId w:val="41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销售费用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大幅上升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：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由于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营业收入上升，销售费用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也相应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上升，</w:t>
            </w:r>
            <w:r w:rsidR="0003148D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并对销售的增长带来正面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促进作用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03148D" w:rsidRPr="00F80D33" w:rsidRDefault="0003148D" w:rsidP="00DC2F74">
            <w:pPr>
              <w:pStyle w:val="a3"/>
              <w:spacing w:line="276" w:lineRule="auto"/>
              <w:ind w:firstLine="480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03148D" w:rsidRPr="00F80D33" w:rsidRDefault="0003148D" w:rsidP="00DC2F74">
            <w:pPr>
              <w:pStyle w:val="a3"/>
              <w:widowControl/>
              <w:numPr>
                <w:ilvl w:val="0"/>
                <w:numId w:val="41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资产减值损失：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年二季度计提了</w:t>
            </w:r>
            <w:r w:rsidR="00961679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9</w:t>
            </w:r>
            <w:r w:rsidR="00961679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961679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00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万资产减值损失主要因为：一、在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白酒的生产方面，不同质量的基酒用于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生产不同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档次的产品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，减值主要针对不用于生产核心品的酒体。这部分酒体是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公司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过去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积累下来的，虽然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公司曾考虑寻找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300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元以下产品的创新机会消化此类酒体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然而鉴于中高端白酒板块自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2015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四季度起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至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年二季度的持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续增长以及水井</w:t>
            </w:r>
            <w:proofErr w:type="gramStart"/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坊超过</w:t>
            </w:r>
            <w:proofErr w:type="gramEnd"/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整个板块的增长速度，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并结合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水井坊</w:t>
            </w:r>
            <w:proofErr w:type="gramStart"/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愿景</w:t>
            </w:r>
            <w:proofErr w:type="gramEnd"/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“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成为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中国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成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长最快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高端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白酒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品牌</w:t>
            </w:r>
            <w:r w:rsidR="00C55784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”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（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水井</w:t>
            </w:r>
            <w:proofErr w:type="gramStart"/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坊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产品</w:t>
            </w:r>
            <w:proofErr w:type="gramEnd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系列价位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是以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提供高质量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白酒为长远目标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），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所以在现在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这个阶段推出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300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元以下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价位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产品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对水井</w:t>
            </w:r>
            <w:proofErr w:type="gramStart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坊来说</w:t>
            </w:r>
            <w:proofErr w:type="gramEnd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不是好的选择。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因为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300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元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以下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产品销售模式与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300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元</w:t>
            </w:r>
            <w:r w:rsidR="009A3606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以上产品</w:t>
            </w:r>
            <w:r w:rsidR="00242B0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，无论在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销售渠道</w:t>
            </w:r>
            <w:r w:rsidR="0096167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线上、线下费用投入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lastRenderedPageBreak/>
              <w:t>销售人员专业性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等方面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都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不一样，故水井</w:t>
            </w:r>
            <w:proofErr w:type="gramStart"/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坊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未来</w:t>
            </w:r>
            <w:proofErr w:type="gramEnd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不会</w:t>
            </w:r>
            <w:r w:rsidR="0096167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投放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太多的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资源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推广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300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元以下的产品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且这部分酒体</w:t>
            </w:r>
            <w:r w:rsidR="00FB2402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仓储的机会成本在不断增加。所以经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综合考虑后，</w:t>
            </w:r>
            <w:r w:rsidR="00FB2402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目前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最恰当的做法</w:t>
            </w:r>
            <w:r w:rsidR="00FB2402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是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将</w:t>
            </w:r>
            <w:r w:rsidR="00FB2402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这部分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酒</w:t>
            </w:r>
            <w:r w:rsidR="00FB2402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体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的市场价格与生产成本</w:t>
            </w:r>
            <w:r w:rsidR="005C6C38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经评估后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，相应做减值</w:t>
            </w:r>
            <w:r w:rsidR="00FB2402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FB2402" w:rsidRPr="00F80D33" w:rsidRDefault="00FB2402" w:rsidP="00DC2F74">
            <w:pPr>
              <w:widowControl/>
              <w:spacing w:line="276" w:lineRule="auto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760CD7" w:rsidRPr="00F80D33" w:rsidRDefault="00760CD7" w:rsidP="00DC2F74">
            <w:pPr>
              <w:pStyle w:val="a3"/>
              <w:widowControl/>
              <w:numPr>
                <w:ilvl w:val="0"/>
                <w:numId w:val="41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利润：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营业利润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增加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7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%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proofErr w:type="gramStart"/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归母净利润</w:t>
            </w:r>
            <w:proofErr w:type="gramEnd"/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从去年的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1300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万增长到今年的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2200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万，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主要是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年同比</w:t>
            </w:r>
            <w:r w:rsidR="00FB2402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基数较低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FB2402" w:rsidRPr="00F80D33" w:rsidRDefault="00FB2402" w:rsidP="00DC2F74">
            <w:pPr>
              <w:pStyle w:val="a3"/>
              <w:spacing w:line="276" w:lineRule="auto"/>
              <w:ind w:firstLine="480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FB2402" w:rsidRPr="00F80D33" w:rsidRDefault="00FB2402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FB2402" w:rsidRPr="00F80D33" w:rsidRDefault="00FB2402" w:rsidP="00DC2F74">
            <w:pPr>
              <w:pStyle w:val="a3"/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b/>
                <w:bCs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eastAsia="宋体" w:cs="Helvetica"/>
                <w:b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="00760CD7" w:rsidRPr="00F80D33">
              <w:rPr>
                <w:rFonts w:eastAsia="宋体" w:cs="Helvetica"/>
                <w:b/>
                <w:bCs/>
                <w:color w:val="000000" w:themeColor="text1"/>
                <w:kern w:val="0"/>
                <w:sz w:val="24"/>
                <w:szCs w:val="24"/>
              </w:rPr>
              <w:t>上半年财务情况：</w:t>
            </w:r>
          </w:p>
          <w:p w:rsidR="00760CD7" w:rsidRPr="00F80D33" w:rsidRDefault="00FB2402" w:rsidP="00DC2F74">
            <w:pPr>
              <w:pStyle w:val="a3"/>
              <w:widowControl/>
              <w:spacing w:line="276" w:lineRule="auto"/>
              <w:ind w:left="420" w:firstLine="48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年上半年同比增长：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销量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59%</w:t>
            </w:r>
            <w:r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，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收入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71%</w:t>
            </w:r>
            <w:r w:rsidR="005070AB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，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毛利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79%</w:t>
            </w:r>
            <w:r w:rsidR="005070AB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，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营业利润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29%</w:t>
            </w:r>
            <w:r w:rsidR="005070AB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，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税后净利润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26%</w:t>
            </w:r>
            <w:r w:rsidR="00760CD7" w:rsidRPr="00F80D33">
              <w:rPr>
                <w:rFonts w:eastAsia="宋体" w:cs="Helvetica"/>
                <w:bCs/>
                <w:color w:val="000000" w:themeColor="text1"/>
                <w:kern w:val="0"/>
                <w:sz w:val="24"/>
                <w:szCs w:val="24"/>
              </w:rPr>
              <w:t>。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水井坊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第一季度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业绩指标低于市场预期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是由于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17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年的春节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发生在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28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号，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近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亿元</w:t>
            </w:r>
            <w:r w:rsidR="0096167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节日预售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收入进入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年四季度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的收入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。税金及附加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增加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133%</w:t>
            </w:r>
            <w:r w:rsidR="00760CD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：主要是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自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日消费税的调整增加。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其他表现与二季度基本一致。</w:t>
            </w:r>
          </w:p>
          <w:p w:rsidR="00891D7E" w:rsidRPr="00F80D33" w:rsidRDefault="00891D7E" w:rsidP="00DC2F74">
            <w:pPr>
              <w:widowControl/>
              <w:spacing w:line="276" w:lineRule="auto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widowControl/>
              <w:spacing w:line="276" w:lineRule="auto"/>
              <w:jc w:val="left"/>
              <w:rPr>
                <w:rFonts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widowControl/>
              <w:spacing w:line="276" w:lineRule="auto"/>
              <w:jc w:val="left"/>
              <w:rPr>
                <w:rFonts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E35983" w:rsidRPr="00F80D33" w:rsidRDefault="00D637A1" w:rsidP="00DC2F74">
            <w:pPr>
              <w:widowControl/>
              <w:spacing w:line="276" w:lineRule="auto"/>
              <w:jc w:val="left"/>
              <w:rPr>
                <w:rFonts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cs="Helvetica"/>
                <w:b/>
                <w:color w:val="000000" w:themeColor="text1"/>
                <w:kern w:val="0"/>
                <w:sz w:val="24"/>
                <w:szCs w:val="24"/>
              </w:rPr>
              <w:t>二、</w:t>
            </w:r>
            <w:r w:rsidR="008B53C8" w:rsidRPr="00F80D33">
              <w:rPr>
                <w:rFonts w:cs="Helvetica"/>
                <w:b/>
                <w:color w:val="000000" w:themeColor="text1"/>
                <w:kern w:val="0"/>
                <w:sz w:val="24"/>
                <w:szCs w:val="24"/>
              </w:rPr>
              <w:t>水井坊管理层解答投资者提出的问题</w:t>
            </w:r>
          </w:p>
          <w:p w:rsidR="005070AB" w:rsidRPr="00F80D33" w:rsidRDefault="005070AB" w:rsidP="00DC2F74">
            <w:pPr>
              <w:widowControl/>
              <w:spacing w:line="276" w:lineRule="auto"/>
              <w:jc w:val="left"/>
              <w:rPr>
                <w:rFonts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上半年销售费用增长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100%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，主要原因是什么？</w:t>
            </w:r>
          </w:p>
          <w:p w:rsidR="005070AB" w:rsidRPr="00F80D33" w:rsidRDefault="005070AB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回答：线上线下广告费用的投放比例分别为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56%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与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44%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。线上是传统媒体，第二季度主要是典藏的微电影，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电子媒体，典藏品鉴会，大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牌广告；线下广告一方面是核心门店支持，另一方面是针对每个地方的需求进行的投入。水井坊的核心竞争力是打造品牌的能力，线上的费用主要是提高水井坊的品牌形象。</w:t>
            </w:r>
          </w:p>
          <w:p w:rsidR="005070AB" w:rsidRPr="00F80D33" w:rsidRDefault="005070AB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公司计提损失同比增加了大约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8000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万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,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主要原因是什么？未来是否还会继续计提，比例如何？</w:t>
            </w:r>
          </w:p>
          <w:p w:rsidR="005070AB" w:rsidRPr="00F80D33" w:rsidRDefault="005070AB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原因上面已表述。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公司现在的战略，决定了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可见的将来不会投放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太多资源在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300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元以下的产品。以后概念上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这方面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不会有太多资产减值，除非暂估的公允值比处理基酒的价值</w:t>
            </w:r>
            <w:r w:rsidR="00F00C21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高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很多。</w:t>
            </w:r>
          </w:p>
          <w:p w:rsidR="005070AB" w:rsidRPr="00F80D33" w:rsidRDefault="005070AB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五大核心市场、五大次核心市场分布的收入占比和收入情况？</w:t>
            </w:r>
          </w:p>
          <w:p w:rsidR="005070AB" w:rsidRPr="00F80D33" w:rsidRDefault="005070AB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回答：五大的核心市场增长接近于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50%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，五大次核心市场</w:t>
            </w:r>
            <w:r w:rsidR="0096167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增长高于</w:t>
            </w:r>
            <w:r w:rsidR="007367D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核心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市场</w:t>
            </w:r>
            <w:r w:rsidR="0096167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增长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一半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以上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，整体</w:t>
            </w:r>
            <w:r w:rsidR="007367D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十大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市场</w:t>
            </w:r>
            <w:r w:rsidR="007367D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的收入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占比</w:t>
            </w:r>
            <w:r w:rsidR="007367D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为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75%</w:t>
            </w:r>
            <w:r w:rsidR="007367D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左右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961679" w:rsidRPr="00F80D33" w:rsidRDefault="00961679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上半年几个</w:t>
            </w:r>
            <w:r w:rsidR="007367D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核心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产品增长情况？</w:t>
            </w:r>
          </w:p>
          <w:p w:rsidR="005070AB" w:rsidRPr="00F80D33" w:rsidRDefault="007367D9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lastRenderedPageBreak/>
              <w:t>回答：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上半年来看，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销量及销售额最大的是八号，其次是井台，典藏；增速最快的是典藏</w:t>
            </w:r>
            <w:r w:rsidR="003B578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（因为新典藏今年</w:t>
            </w:r>
            <w:r w:rsidR="003B578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</w:t>
            </w:r>
            <w:r w:rsidR="003B5785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月上市，开始铺货叠加自然增长，其基数较低）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，其次是八号，井台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7367D9" w:rsidRPr="00F80D33" w:rsidRDefault="007367D9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7367D9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广告费用投入情况，是否会环比提升？</w:t>
            </w:r>
          </w:p>
          <w:p w:rsidR="005070AB" w:rsidRPr="00F80D33" w:rsidRDefault="007367D9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2013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年至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年上半年，</w:t>
            </w:r>
            <w:r w:rsidR="005C6C38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整个白酒行业大环境低迷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，公司线上线下销售费用</w:t>
            </w:r>
            <w:r w:rsidR="00961679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投入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率偏低。自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2016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年下半年开始，随着公司业务高速成长，费用投入有所增加。未来随着水井</w:t>
            </w:r>
            <w:proofErr w:type="gramStart"/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坊业务</w:t>
            </w:r>
            <w:proofErr w:type="gramEnd"/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发展的速度，在合理投入水平的前提下，费用的</w:t>
            </w:r>
            <w:r w:rsidR="005C6C38"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投</w:t>
            </w:r>
            <w:r w:rsidRPr="00F80D33">
              <w:rPr>
                <w:rFonts w:cs="Helvetica"/>
                <w:color w:val="000000" w:themeColor="text1"/>
                <w:kern w:val="0"/>
                <w:sz w:val="24"/>
                <w:szCs w:val="24"/>
              </w:rPr>
              <w:t>入会持续上升。</w:t>
            </w:r>
          </w:p>
          <w:p w:rsidR="007367D9" w:rsidRPr="00F80D33" w:rsidRDefault="007367D9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未来三年的规划？</w:t>
            </w:r>
          </w:p>
          <w:p w:rsidR="001208A7" w:rsidRPr="00F80D33" w:rsidRDefault="007367D9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年初的时候公告过今年规划，营业收入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增加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35%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，归母净利润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增加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20%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  <w:r w:rsidR="00732E2E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根据审慎性原则，目前这个时间点不准备调整全年业绩指标</w:t>
            </w:r>
            <w:r w:rsidR="001208A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；三年规划可参看递延奖金计划，希望收入、税后净利润至少保持每年</w:t>
            </w:r>
            <w:r w:rsidR="001208A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15%</w:t>
            </w:r>
            <w:r w:rsidR="001208A7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增长。</w:t>
            </w:r>
          </w:p>
          <w:p w:rsidR="001208A7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典藏哪些地方卖，未来在哪里卖？</w:t>
            </w:r>
          </w:p>
          <w:p w:rsidR="005070AB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2017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年典藏主要在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5+5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的核心区域，未来随着渠道优化的方向发展，公司希望未来典藏能占到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10%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或以上的收入占比。近期仍然会在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5+5</w:t>
            </w:r>
            <w:r w:rsidR="005C6C38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的市场发力，未来不排除加大其他市场的投入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1208A7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1208A7" w:rsidRPr="00F80D33" w:rsidRDefault="001208A7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经销商减少？经销商是主动还是被动减少的？</w:t>
            </w:r>
          </w:p>
          <w:p w:rsidR="005070AB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现阶段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只有两三个省份是扁平化市场，未来所有扁平化市场都会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转换</w:t>
            </w:r>
            <w:proofErr w:type="gramStart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成总代模式</w:t>
            </w:r>
            <w:proofErr w:type="gramEnd"/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，这个过程中从报表上看意味着经销商减少</w:t>
            </w:r>
            <w:r w:rsidR="00732E2E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，实际是模式的变化。概念上，总代模式应该是一个省一个经销商。目前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基本上所有省份都有销售，除了西藏。</w:t>
            </w:r>
          </w:p>
          <w:p w:rsidR="001208A7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核心市场会不会再增加？</w:t>
            </w:r>
          </w:p>
          <w:p w:rsidR="001208A7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回答：近期仍然会在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5+5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的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核心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市场发力，未来不排除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增加其他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5</w:t>
            </w:r>
            <w:r w:rsidR="00DD1BB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个市场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5070AB" w:rsidRPr="00F80D33" w:rsidRDefault="005070AB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所得税率情况？</w:t>
            </w:r>
          </w:p>
          <w:p w:rsidR="005070AB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所得税率</w:t>
            </w:r>
            <w:r w:rsidR="00DD6EBC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是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25%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</w:t>
            </w:r>
            <w:r w:rsidR="00DD6EBC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公司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上半年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23%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，去年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26%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，现在还有大概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1.7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亿的亏损</w:t>
            </w: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以及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2.4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亿</w:t>
            </w:r>
            <w:r w:rsidR="00961679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可抵扣事项</w:t>
            </w:r>
            <w:r w:rsidR="00732E2E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可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用。</w:t>
            </w:r>
          </w:p>
          <w:p w:rsidR="001208A7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单二季度典藏占比？</w:t>
            </w:r>
          </w:p>
          <w:p w:rsidR="005070AB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10%</w:t>
            </w:r>
            <w:r w:rsidR="005070AB"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左右。</w:t>
            </w:r>
          </w:p>
          <w:p w:rsidR="001208A7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</w:p>
          <w:p w:rsidR="005070AB" w:rsidRPr="00F80D33" w:rsidRDefault="005070AB" w:rsidP="00DC2F74">
            <w:pPr>
              <w:pStyle w:val="a3"/>
              <w:widowControl/>
              <w:numPr>
                <w:ilvl w:val="0"/>
                <w:numId w:val="39"/>
              </w:numPr>
              <w:spacing w:line="276" w:lineRule="auto"/>
              <w:ind w:firstLineChars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单瓶促销费用有增加吗？</w:t>
            </w:r>
          </w:p>
          <w:p w:rsidR="00E32D6B" w:rsidRPr="00F80D33" w:rsidRDefault="001208A7" w:rsidP="00DC2F74">
            <w:pPr>
              <w:pStyle w:val="a3"/>
              <w:widowControl/>
              <w:spacing w:line="276" w:lineRule="auto"/>
              <w:ind w:left="420" w:firstLineChars="0" w:firstLine="0"/>
              <w:jc w:val="left"/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</w:pPr>
            <w:r w:rsidRPr="00F80D33">
              <w:rPr>
                <w:rFonts w:eastAsia="宋体" w:cs="Helvetica"/>
                <w:color w:val="000000" w:themeColor="text1"/>
                <w:kern w:val="0"/>
                <w:sz w:val="24"/>
                <w:szCs w:val="24"/>
              </w:rPr>
              <w:t>回答：整体单瓶的推销费用没有增加。</w:t>
            </w:r>
          </w:p>
        </w:tc>
      </w:tr>
    </w:tbl>
    <w:p w:rsidR="00C77510" w:rsidRPr="00F80D33" w:rsidRDefault="00C77510">
      <w:pPr>
        <w:rPr>
          <w:color w:val="000000" w:themeColor="text1"/>
          <w:sz w:val="24"/>
          <w:szCs w:val="24"/>
        </w:rPr>
      </w:pPr>
    </w:p>
    <w:sectPr w:rsidR="00C77510" w:rsidRPr="00F80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EC" w:rsidRDefault="00D54FEC" w:rsidP="005A6441">
      <w:r>
        <w:separator/>
      </w:r>
    </w:p>
  </w:endnote>
  <w:endnote w:type="continuationSeparator" w:id="0">
    <w:p w:rsidR="00D54FEC" w:rsidRDefault="00D54FEC" w:rsidP="005A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EC" w:rsidRDefault="00D54FEC" w:rsidP="005A6441">
      <w:r>
        <w:separator/>
      </w:r>
    </w:p>
  </w:footnote>
  <w:footnote w:type="continuationSeparator" w:id="0">
    <w:p w:rsidR="00D54FEC" w:rsidRDefault="00D54FEC" w:rsidP="005A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D7"/>
    <w:multiLevelType w:val="hybridMultilevel"/>
    <w:tmpl w:val="09463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E01A92"/>
    <w:multiLevelType w:val="multilevel"/>
    <w:tmpl w:val="1F9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F479B"/>
    <w:multiLevelType w:val="multilevel"/>
    <w:tmpl w:val="75BAD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7F7F"/>
    <w:multiLevelType w:val="hybridMultilevel"/>
    <w:tmpl w:val="1146E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1F454D"/>
    <w:multiLevelType w:val="multilevel"/>
    <w:tmpl w:val="DACE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76671"/>
    <w:multiLevelType w:val="multilevel"/>
    <w:tmpl w:val="9078C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F6783"/>
    <w:multiLevelType w:val="hybridMultilevel"/>
    <w:tmpl w:val="BB9CF20E"/>
    <w:lvl w:ilvl="0" w:tplc="AE3E1B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03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2C5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2EF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29F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C4F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0FF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68A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6A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C3B58"/>
    <w:multiLevelType w:val="hybridMultilevel"/>
    <w:tmpl w:val="28ACD9D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114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D92EE0"/>
    <w:multiLevelType w:val="multilevel"/>
    <w:tmpl w:val="2A2E7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A5FEA"/>
    <w:multiLevelType w:val="multilevel"/>
    <w:tmpl w:val="CEA2C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4292B"/>
    <w:multiLevelType w:val="hybridMultilevel"/>
    <w:tmpl w:val="4D6A7460"/>
    <w:lvl w:ilvl="0" w:tplc="BA0A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107B30"/>
    <w:multiLevelType w:val="multilevel"/>
    <w:tmpl w:val="68805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C053C"/>
    <w:multiLevelType w:val="hybridMultilevel"/>
    <w:tmpl w:val="F998018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EA93D47"/>
    <w:multiLevelType w:val="hybridMultilevel"/>
    <w:tmpl w:val="095687AC"/>
    <w:lvl w:ilvl="0" w:tplc="5930D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4EB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46B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008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83E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AAE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A8C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E9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876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5A2B6A"/>
    <w:multiLevelType w:val="multilevel"/>
    <w:tmpl w:val="658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D13C3"/>
    <w:multiLevelType w:val="hybridMultilevel"/>
    <w:tmpl w:val="28ACD9D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114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BC40E8A"/>
    <w:multiLevelType w:val="multilevel"/>
    <w:tmpl w:val="073E43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957F7"/>
    <w:multiLevelType w:val="multilevel"/>
    <w:tmpl w:val="C5167E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94EAB"/>
    <w:multiLevelType w:val="hybridMultilevel"/>
    <w:tmpl w:val="28ACD9D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114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76E0D5A"/>
    <w:multiLevelType w:val="hybridMultilevel"/>
    <w:tmpl w:val="C0F6458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A86411C"/>
    <w:multiLevelType w:val="hybridMultilevel"/>
    <w:tmpl w:val="FA227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4057E03"/>
    <w:multiLevelType w:val="multilevel"/>
    <w:tmpl w:val="F724C7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D7D66"/>
    <w:multiLevelType w:val="multilevel"/>
    <w:tmpl w:val="FA6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4178D"/>
    <w:multiLevelType w:val="hybridMultilevel"/>
    <w:tmpl w:val="E73A622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114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7DB"/>
    <w:multiLevelType w:val="multilevel"/>
    <w:tmpl w:val="51688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A1F96"/>
    <w:multiLevelType w:val="hybridMultilevel"/>
    <w:tmpl w:val="188C16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BC4A1C"/>
    <w:multiLevelType w:val="multilevel"/>
    <w:tmpl w:val="B9FA4C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6348E"/>
    <w:multiLevelType w:val="hybridMultilevel"/>
    <w:tmpl w:val="188C16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D006CB"/>
    <w:multiLevelType w:val="hybridMultilevel"/>
    <w:tmpl w:val="95BE4328"/>
    <w:lvl w:ilvl="0" w:tplc="E3280F56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7C4FA9"/>
    <w:multiLevelType w:val="multilevel"/>
    <w:tmpl w:val="894EEF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E0DBC"/>
    <w:multiLevelType w:val="multilevel"/>
    <w:tmpl w:val="658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A4A19"/>
    <w:multiLevelType w:val="multilevel"/>
    <w:tmpl w:val="E4D8B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A33ED8"/>
    <w:multiLevelType w:val="multilevel"/>
    <w:tmpl w:val="6E729F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C5C8C"/>
    <w:multiLevelType w:val="hybridMultilevel"/>
    <w:tmpl w:val="506E0738"/>
    <w:lvl w:ilvl="0" w:tplc="47BE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0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0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2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2A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A8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4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A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AD6A0E"/>
    <w:multiLevelType w:val="hybridMultilevel"/>
    <w:tmpl w:val="CD9C733A"/>
    <w:lvl w:ilvl="0" w:tplc="F70ADE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95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0BE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2F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6EC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61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ED8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6DE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A88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87D45"/>
    <w:multiLevelType w:val="hybridMultilevel"/>
    <w:tmpl w:val="CF9084BC"/>
    <w:lvl w:ilvl="0" w:tplc="87BA8D1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AE272ED"/>
    <w:multiLevelType w:val="multilevel"/>
    <w:tmpl w:val="6588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751AD"/>
    <w:multiLevelType w:val="hybridMultilevel"/>
    <w:tmpl w:val="08F87E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114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D370232"/>
    <w:multiLevelType w:val="multilevel"/>
    <w:tmpl w:val="E8965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A5458"/>
    <w:multiLevelType w:val="hybridMultilevel"/>
    <w:tmpl w:val="188C16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E566DEB"/>
    <w:multiLevelType w:val="multilevel"/>
    <w:tmpl w:val="51FA5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2"/>
  </w:num>
  <w:num w:numId="10">
    <w:abstractNumId w:val="38"/>
  </w:num>
  <w:num w:numId="11">
    <w:abstractNumId w:val="24"/>
  </w:num>
  <w:num w:numId="12">
    <w:abstractNumId w:val="31"/>
  </w:num>
  <w:num w:numId="13">
    <w:abstractNumId w:val="32"/>
  </w:num>
  <w:num w:numId="14">
    <w:abstractNumId w:val="26"/>
  </w:num>
  <w:num w:numId="15">
    <w:abstractNumId w:val="29"/>
  </w:num>
  <w:num w:numId="16">
    <w:abstractNumId w:val="40"/>
  </w:num>
  <w:num w:numId="17">
    <w:abstractNumId w:val="11"/>
  </w:num>
  <w:num w:numId="18">
    <w:abstractNumId w:val="21"/>
  </w:num>
  <w:num w:numId="19">
    <w:abstractNumId w:val="16"/>
  </w:num>
  <w:num w:numId="20">
    <w:abstractNumId w:val="17"/>
  </w:num>
  <w:num w:numId="21">
    <w:abstractNumId w:val="36"/>
  </w:num>
  <w:num w:numId="22">
    <w:abstractNumId w:val="30"/>
  </w:num>
  <w:num w:numId="23">
    <w:abstractNumId w:val="12"/>
  </w:num>
  <w:num w:numId="24">
    <w:abstractNumId w:val="3"/>
  </w:num>
  <w:num w:numId="25">
    <w:abstractNumId w:val="20"/>
  </w:num>
  <w:num w:numId="26">
    <w:abstractNumId w:val="28"/>
  </w:num>
  <w:num w:numId="27">
    <w:abstractNumId w:val="33"/>
  </w:num>
  <w:num w:numId="28">
    <w:abstractNumId w:val="35"/>
  </w:num>
  <w:num w:numId="29">
    <w:abstractNumId w:val="6"/>
  </w:num>
  <w:num w:numId="30">
    <w:abstractNumId w:val="25"/>
  </w:num>
  <w:num w:numId="31">
    <w:abstractNumId w:val="13"/>
  </w:num>
  <w:num w:numId="32">
    <w:abstractNumId w:val="27"/>
  </w:num>
  <w:num w:numId="33">
    <w:abstractNumId w:val="18"/>
  </w:num>
  <w:num w:numId="34">
    <w:abstractNumId w:val="34"/>
  </w:num>
  <w:num w:numId="35">
    <w:abstractNumId w:val="39"/>
  </w:num>
  <w:num w:numId="36">
    <w:abstractNumId w:val="37"/>
  </w:num>
  <w:num w:numId="37">
    <w:abstractNumId w:val="15"/>
  </w:num>
  <w:num w:numId="38">
    <w:abstractNumId w:val="19"/>
  </w:num>
  <w:num w:numId="39">
    <w:abstractNumId w:val="0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D"/>
    <w:rsid w:val="00003A69"/>
    <w:rsid w:val="00015683"/>
    <w:rsid w:val="0003148D"/>
    <w:rsid w:val="00034A48"/>
    <w:rsid w:val="00047C2C"/>
    <w:rsid w:val="00090008"/>
    <w:rsid w:val="000A1CEF"/>
    <w:rsid w:val="000C0817"/>
    <w:rsid w:val="000D4D57"/>
    <w:rsid w:val="000E1F13"/>
    <w:rsid w:val="000F5046"/>
    <w:rsid w:val="000F5F3F"/>
    <w:rsid w:val="001208A7"/>
    <w:rsid w:val="001334AD"/>
    <w:rsid w:val="00152DEB"/>
    <w:rsid w:val="00155FA7"/>
    <w:rsid w:val="001B09C6"/>
    <w:rsid w:val="001E0A7F"/>
    <w:rsid w:val="00231359"/>
    <w:rsid w:val="00236AA6"/>
    <w:rsid w:val="00242B07"/>
    <w:rsid w:val="002A3EEF"/>
    <w:rsid w:val="002B110A"/>
    <w:rsid w:val="00300C5D"/>
    <w:rsid w:val="00346C6E"/>
    <w:rsid w:val="00361090"/>
    <w:rsid w:val="0039758B"/>
    <w:rsid w:val="003B5785"/>
    <w:rsid w:val="003F18E5"/>
    <w:rsid w:val="00477F83"/>
    <w:rsid w:val="004A4090"/>
    <w:rsid w:val="004A55A7"/>
    <w:rsid w:val="004C6746"/>
    <w:rsid w:val="004F4B31"/>
    <w:rsid w:val="005070AB"/>
    <w:rsid w:val="00527EE1"/>
    <w:rsid w:val="0053471C"/>
    <w:rsid w:val="00541E1F"/>
    <w:rsid w:val="00557410"/>
    <w:rsid w:val="005605F9"/>
    <w:rsid w:val="0059274F"/>
    <w:rsid w:val="005A153C"/>
    <w:rsid w:val="005A6441"/>
    <w:rsid w:val="005B2B67"/>
    <w:rsid w:val="005C6C38"/>
    <w:rsid w:val="005F7FD7"/>
    <w:rsid w:val="00641CCB"/>
    <w:rsid w:val="006718F0"/>
    <w:rsid w:val="00673130"/>
    <w:rsid w:val="00677FA9"/>
    <w:rsid w:val="006B2927"/>
    <w:rsid w:val="006C18A2"/>
    <w:rsid w:val="006C36BE"/>
    <w:rsid w:val="00710165"/>
    <w:rsid w:val="00732E2E"/>
    <w:rsid w:val="007367D9"/>
    <w:rsid w:val="00760CD7"/>
    <w:rsid w:val="007628E6"/>
    <w:rsid w:val="0077239A"/>
    <w:rsid w:val="007F5C56"/>
    <w:rsid w:val="0081647F"/>
    <w:rsid w:val="0084432B"/>
    <w:rsid w:val="00891D7E"/>
    <w:rsid w:val="008B53C8"/>
    <w:rsid w:val="008B5536"/>
    <w:rsid w:val="008F065A"/>
    <w:rsid w:val="00924820"/>
    <w:rsid w:val="009336A6"/>
    <w:rsid w:val="00961679"/>
    <w:rsid w:val="009A3606"/>
    <w:rsid w:val="00A91E1F"/>
    <w:rsid w:val="00B059DF"/>
    <w:rsid w:val="00B52E4E"/>
    <w:rsid w:val="00BA6F87"/>
    <w:rsid w:val="00BB2B4D"/>
    <w:rsid w:val="00BB601F"/>
    <w:rsid w:val="00BF2ACA"/>
    <w:rsid w:val="00C1559A"/>
    <w:rsid w:val="00C32F1D"/>
    <w:rsid w:val="00C55784"/>
    <w:rsid w:val="00C77510"/>
    <w:rsid w:val="00CB6740"/>
    <w:rsid w:val="00CD6432"/>
    <w:rsid w:val="00D10294"/>
    <w:rsid w:val="00D41B90"/>
    <w:rsid w:val="00D54FEC"/>
    <w:rsid w:val="00D637A1"/>
    <w:rsid w:val="00D65648"/>
    <w:rsid w:val="00DC2F74"/>
    <w:rsid w:val="00DD1BBB"/>
    <w:rsid w:val="00DD6EBC"/>
    <w:rsid w:val="00E06A6A"/>
    <w:rsid w:val="00E1199B"/>
    <w:rsid w:val="00E13F99"/>
    <w:rsid w:val="00E32D6B"/>
    <w:rsid w:val="00E35983"/>
    <w:rsid w:val="00E36D8C"/>
    <w:rsid w:val="00E44960"/>
    <w:rsid w:val="00EF1C2E"/>
    <w:rsid w:val="00F00C21"/>
    <w:rsid w:val="00F22394"/>
    <w:rsid w:val="00F60BBA"/>
    <w:rsid w:val="00F80D33"/>
    <w:rsid w:val="00FA182E"/>
    <w:rsid w:val="00FB2402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6B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610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4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4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6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64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2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6B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610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4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4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16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647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2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3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3BEE-3AFB-40F1-B660-914C7112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张薷尹 Eva Zhang</dc:creator>
  <cp:lastModifiedBy>张薷尹 Eva Zhang</cp:lastModifiedBy>
  <cp:revision>30</cp:revision>
  <cp:lastPrinted>2017-07-27T01:26:00Z</cp:lastPrinted>
  <dcterms:created xsi:type="dcterms:W3CDTF">2017-04-30T01:25:00Z</dcterms:created>
  <dcterms:modified xsi:type="dcterms:W3CDTF">2017-07-27T01:42:00Z</dcterms:modified>
</cp:coreProperties>
</file>