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77" w:rsidRPr="006F4C1D" w:rsidRDefault="00B37A77" w:rsidP="00B37A77">
      <w:pPr>
        <w:ind w:firstLineChars="200" w:firstLine="562"/>
        <w:jc w:val="center"/>
        <w:rPr>
          <w:rFonts w:asciiTheme="minorEastAsia" w:hAnsiTheme="minorEastAsia"/>
          <w:b/>
          <w:sz w:val="28"/>
          <w:szCs w:val="28"/>
        </w:rPr>
      </w:pPr>
      <w:r w:rsidRPr="006F4C1D">
        <w:rPr>
          <w:rFonts w:asciiTheme="minorEastAsia" w:hAnsiTheme="minorEastAsia" w:hint="eastAsia"/>
          <w:b/>
          <w:sz w:val="28"/>
          <w:szCs w:val="28"/>
        </w:rPr>
        <w:t>福建顶点软件股份有限公司</w:t>
      </w:r>
    </w:p>
    <w:p w:rsidR="00B37A77" w:rsidRPr="006F4C1D" w:rsidRDefault="00B37A77" w:rsidP="00B37A77">
      <w:pPr>
        <w:ind w:firstLineChars="200" w:firstLine="562"/>
        <w:jc w:val="center"/>
        <w:rPr>
          <w:rFonts w:asciiTheme="minorEastAsia" w:hAnsiTheme="minorEastAsia"/>
          <w:b/>
          <w:sz w:val="28"/>
          <w:szCs w:val="28"/>
        </w:rPr>
      </w:pPr>
      <w:r w:rsidRPr="006F4C1D">
        <w:rPr>
          <w:rFonts w:asciiTheme="minorEastAsia" w:hAnsiTheme="minorEastAsia" w:hint="eastAsia"/>
          <w:b/>
          <w:sz w:val="28"/>
          <w:szCs w:val="28"/>
        </w:rPr>
        <w:t>投资者关系活动记录表</w:t>
      </w:r>
    </w:p>
    <w:p w:rsidR="00B37A77" w:rsidRDefault="00B37A77" w:rsidP="00B37A77">
      <w:pPr>
        <w:rPr>
          <w:rFonts w:asciiTheme="minorEastAsia" w:hAnsiTheme="minorEastAsia"/>
          <w:sz w:val="28"/>
          <w:szCs w:val="28"/>
        </w:rPr>
      </w:pPr>
      <w:r w:rsidRPr="00C6172A">
        <w:rPr>
          <w:rFonts w:asciiTheme="minorEastAsia" w:hAnsiTheme="minorEastAsia" w:hint="eastAsia"/>
          <w:sz w:val="28"/>
          <w:szCs w:val="28"/>
        </w:rPr>
        <w:t>证券简称：顶点软件</w:t>
      </w:r>
      <w:r>
        <w:rPr>
          <w:rFonts w:asciiTheme="minorEastAsia" w:hAnsiTheme="minorEastAsia" w:hint="eastAsia"/>
          <w:sz w:val="28"/>
          <w:szCs w:val="28"/>
        </w:rPr>
        <w:t xml:space="preserve">       </w:t>
      </w:r>
      <w:r w:rsidRPr="00C6172A">
        <w:rPr>
          <w:rFonts w:asciiTheme="minorEastAsia" w:hAnsiTheme="minorEastAsia" w:hint="eastAsia"/>
          <w:sz w:val="28"/>
          <w:szCs w:val="28"/>
        </w:rPr>
        <w:t>证券代码：603383</w:t>
      </w:r>
      <w:r>
        <w:rPr>
          <w:rFonts w:asciiTheme="minorEastAsia" w:hAnsiTheme="minorEastAsia" w:hint="eastAsia"/>
          <w:sz w:val="28"/>
          <w:szCs w:val="28"/>
        </w:rPr>
        <w:t xml:space="preserve">    </w:t>
      </w:r>
      <w:r w:rsidR="00D258D4">
        <w:rPr>
          <w:rFonts w:asciiTheme="minorEastAsia" w:hAnsiTheme="minorEastAsia" w:hint="eastAsia"/>
          <w:sz w:val="28"/>
          <w:szCs w:val="28"/>
        </w:rPr>
        <w:t xml:space="preserve"> </w:t>
      </w:r>
      <w:r w:rsidRPr="00C6172A">
        <w:rPr>
          <w:rFonts w:asciiTheme="minorEastAsia" w:hAnsiTheme="minorEastAsia" w:hint="eastAsia"/>
          <w:sz w:val="28"/>
          <w:szCs w:val="28"/>
        </w:rPr>
        <w:t>编号：</w:t>
      </w:r>
      <w:r w:rsidR="00D258D4">
        <w:rPr>
          <w:rFonts w:asciiTheme="minorEastAsia" w:hAnsiTheme="minorEastAsia" w:hint="eastAsia"/>
          <w:sz w:val="28"/>
          <w:szCs w:val="28"/>
        </w:rPr>
        <w:t>2017-</w:t>
      </w:r>
      <w:r w:rsidR="00D258D4">
        <w:rPr>
          <w:rFonts w:asciiTheme="minorEastAsia" w:hAnsiTheme="minorEastAsia"/>
          <w:sz w:val="28"/>
          <w:szCs w:val="28"/>
        </w:rPr>
        <w:t>0</w:t>
      </w:r>
      <w:r w:rsidR="006A6A8E">
        <w:rPr>
          <w:rFonts w:asciiTheme="minorEastAsia" w:hAnsiTheme="minorEastAsia"/>
          <w:sz w:val="28"/>
          <w:szCs w:val="28"/>
        </w:rPr>
        <w:t>0</w:t>
      </w:r>
      <w:r w:rsidR="00DE7AD2">
        <w:rPr>
          <w:rFonts w:asciiTheme="minorEastAsia" w:hAnsiTheme="minorEastAsia"/>
          <w:sz w:val="28"/>
          <w:szCs w:val="28"/>
        </w:rPr>
        <w:t>3</w:t>
      </w:r>
    </w:p>
    <w:p w:rsidR="00B37A77" w:rsidRPr="00DE7AD2" w:rsidRDefault="00B37A77" w:rsidP="00B37A77">
      <w:pPr>
        <w:ind w:firstLineChars="200" w:firstLine="560"/>
        <w:rPr>
          <w:rFonts w:asciiTheme="minorEastAsia" w:hAnsiTheme="minorEastAsia"/>
          <w:sz w:val="28"/>
          <w:szCs w:val="28"/>
        </w:rPr>
      </w:pPr>
    </w:p>
    <w:tbl>
      <w:tblPr>
        <w:tblStyle w:val="a5"/>
        <w:tblW w:w="0" w:type="auto"/>
        <w:tblLook w:val="04A0" w:firstRow="1" w:lastRow="0" w:firstColumn="1" w:lastColumn="0" w:noHBand="0" w:noVBand="1"/>
      </w:tblPr>
      <w:tblGrid>
        <w:gridCol w:w="1696"/>
        <w:gridCol w:w="6600"/>
      </w:tblGrid>
      <w:tr w:rsidR="00B37A77" w:rsidRPr="00C6172A" w:rsidTr="00B37A77">
        <w:trPr>
          <w:trHeight w:val="624"/>
        </w:trPr>
        <w:tc>
          <w:tcPr>
            <w:tcW w:w="1696" w:type="dxa"/>
            <w:vMerge w:val="restart"/>
            <w:noWrap/>
            <w:vAlign w:val="center"/>
            <w:hideMark/>
          </w:tcPr>
          <w:p w:rsidR="00B37A77" w:rsidRPr="00B35663" w:rsidRDefault="00B37A77" w:rsidP="00432224">
            <w:pPr>
              <w:jc w:val="center"/>
              <w:rPr>
                <w:rFonts w:asciiTheme="minorEastAsia" w:hAnsiTheme="minorEastAsia"/>
                <w:bCs/>
                <w:sz w:val="28"/>
                <w:szCs w:val="28"/>
              </w:rPr>
            </w:pPr>
            <w:r w:rsidRPr="00B35663">
              <w:rPr>
                <w:rFonts w:asciiTheme="minorEastAsia" w:hAnsiTheme="minorEastAsia" w:hint="eastAsia"/>
                <w:bCs/>
                <w:sz w:val="28"/>
                <w:szCs w:val="28"/>
              </w:rPr>
              <w:t>投资者关系活动类别</w:t>
            </w:r>
          </w:p>
        </w:tc>
        <w:tc>
          <w:tcPr>
            <w:tcW w:w="6600" w:type="dxa"/>
            <w:vMerge w:val="restart"/>
            <w:hideMark/>
          </w:tcPr>
          <w:p w:rsidR="00B37A77" w:rsidRPr="00C6172A" w:rsidRDefault="00470F40" w:rsidP="00432224">
            <w:pPr>
              <w:rPr>
                <w:rFonts w:asciiTheme="minorEastAsia" w:hAnsiTheme="minorEastAsia"/>
                <w:sz w:val="28"/>
                <w:szCs w:val="28"/>
              </w:rPr>
            </w:pPr>
            <w:r>
              <w:rPr>
                <w:rFonts w:asciiTheme="minorEastAsia" w:hAnsiTheme="minorEastAsia" w:hint="eastAsia"/>
                <w:sz w:val="28"/>
                <w:szCs w:val="28"/>
              </w:rPr>
              <w:sym w:font="Wingdings 2" w:char="F052"/>
            </w:r>
            <w:r w:rsidR="00B37A77" w:rsidRPr="00C6172A">
              <w:rPr>
                <w:rFonts w:asciiTheme="minorEastAsia" w:hAnsiTheme="minorEastAsia" w:hint="eastAsia"/>
                <w:sz w:val="28"/>
                <w:szCs w:val="28"/>
              </w:rPr>
              <w:t>特定对象调研 □分析师会议 □媒体采访</w:t>
            </w:r>
            <w:r w:rsidR="00B37A77" w:rsidRPr="00C6172A">
              <w:rPr>
                <w:rFonts w:asciiTheme="minorEastAsia" w:hAnsiTheme="minorEastAsia" w:hint="eastAsia"/>
                <w:sz w:val="28"/>
                <w:szCs w:val="28"/>
              </w:rPr>
              <w:br/>
              <w:t>□业绩说明会 □新闻发布会 □路演活动</w:t>
            </w:r>
            <w:r w:rsidR="00B37A77" w:rsidRPr="00C6172A">
              <w:rPr>
                <w:rFonts w:asciiTheme="minorEastAsia" w:hAnsiTheme="minorEastAsia" w:hint="eastAsia"/>
                <w:sz w:val="28"/>
                <w:szCs w:val="28"/>
              </w:rPr>
              <w:br/>
              <w:t>□现场参观 □其他（</w:t>
            </w:r>
            <w:r w:rsidR="00B37A77">
              <w:rPr>
                <w:rFonts w:asciiTheme="minorEastAsia" w:hAnsiTheme="minorEastAsia" w:hint="eastAsia"/>
                <w:sz w:val="28"/>
                <w:szCs w:val="28"/>
              </w:rPr>
              <w:t xml:space="preserve">                </w:t>
            </w:r>
            <w:r w:rsidR="00B37A77" w:rsidRPr="00C6172A">
              <w:rPr>
                <w:rFonts w:asciiTheme="minorEastAsia" w:hAnsiTheme="minorEastAsia" w:hint="eastAsia"/>
                <w:sz w:val="28"/>
                <w:szCs w:val="28"/>
              </w:rPr>
              <w:t xml:space="preserve"> ）</w:t>
            </w:r>
          </w:p>
        </w:tc>
      </w:tr>
      <w:tr w:rsidR="00B37A77" w:rsidRPr="00C6172A" w:rsidTr="00B37A77">
        <w:trPr>
          <w:trHeight w:val="624"/>
        </w:trPr>
        <w:tc>
          <w:tcPr>
            <w:tcW w:w="1696" w:type="dxa"/>
            <w:vMerge/>
            <w:vAlign w:val="center"/>
            <w:hideMark/>
          </w:tcPr>
          <w:p w:rsidR="00B37A77" w:rsidRPr="00B35663" w:rsidRDefault="00B37A77" w:rsidP="00432224">
            <w:pPr>
              <w:ind w:firstLineChars="200" w:firstLine="560"/>
              <w:jc w:val="center"/>
              <w:rPr>
                <w:rFonts w:asciiTheme="minorEastAsia" w:hAnsiTheme="minorEastAsia"/>
                <w:bCs/>
                <w:sz w:val="28"/>
                <w:szCs w:val="28"/>
              </w:rPr>
            </w:pPr>
          </w:p>
        </w:tc>
        <w:tc>
          <w:tcPr>
            <w:tcW w:w="6600" w:type="dxa"/>
            <w:vMerge/>
            <w:hideMark/>
          </w:tcPr>
          <w:p w:rsidR="00B37A77" w:rsidRPr="00C6172A" w:rsidRDefault="00B37A77" w:rsidP="00432224">
            <w:pPr>
              <w:ind w:firstLineChars="200" w:firstLine="560"/>
              <w:rPr>
                <w:rFonts w:asciiTheme="minorEastAsia" w:hAnsiTheme="minorEastAsia"/>
                <w:sz w:val="28"/>
                <w:szCs w:val="28"/>
              </w:rPr>
            </w:pPr>
          </w:p>
        </w:tc>
      </w:tr>
      <w:tr w:rsidR="00B37A77" w:rsidRPr="00C6172A" w:rsidTr="00B37A77">
        <w:trPr>
          <w:trHeight w:val="624"/>
        </w:trPr>
        <w:tc>
          <w:tcPr>
            <w:tcW w:w="1696" w:type="dxa"/>
            <w:vMerge/>
            <w:vAlign w:val="center"/>
            <w:hideMark/>
          </w:tcPr>
          <w:p w:rsidR="00B37A77" w:rsidRPr="00B35663" w:rsidRDefault="00B37A77" w:rsidP="00432224">
            <w:pPr>
              <w:ind w:firstLineChars="200" w:firstLine="560"/>
              <w:jc w:val="center"/>
              <w:rPr>
                <w:rFonts w:asciiTheme="minorEastAsia" w:hAnsiTheme="minorEastAsia"/>
                <w:bCs/>
                <w:sz w:val="28"/>
                <w:szCs w:val="28"/>
              </w:rPr>
            </w:pPr>
          </w:p>
        </w:tc>
        <w:tc>
          <w:tcPr>
            <w:tcW w:w="6600" w:type="dxa"/>
            <w:vMerge/>
            <w:hideMark/>
          </w:tcPr>
          <w:p w:rsidR="00B37A77" w:rsidRPr="00C6172A" w:rsidRDefault="00B37A77" w:rsidP="00432224">
            <w:pPr>
              <w:ind w:firstLineChars="200" w:firstLine="560"/>
              <w:rPr>
                <w:rFonts w:asciiTheme="minorEastAsia" w:hAnsiTheme="minorEastAsia"/>
                <w:sz w:val="28"/>
                <w:szCs w:val="28"/>
              </w:rPr>
            </w:pPr>
          </w:p>
        </w:tc>
      </w:tr>
      <w:tr w:rsidR="00B37A77" w:rsidRPr="00C6172A" w:rsidTr="006C2369">
        <w:trPr>
          <w:trHeight w:val="3540"/>
        </w:trPr>
        <w:tc>
          <w:tcPr>
            <w:tcW w:w="1696" w:type="dxa"/>
            <w:noWrap/>
            <w:vAlign w:val="center"/>
            <w:hideMark/>
          </w:tcPr>
          <w:p w:rsidR="00B37A77" w:rsidRDefault="00B37A77" w:rsidP="00432224">
            <w:pPr>
              <w:jc w:val="center"/>
              <w:rPr>
                <w:rFonts w:asciiTheme="minorEastAsia" w:hAnsiTheme="minorEastAsia"/>
                <w:bCs/>
                <w:sz w:val="28"/>
                <w:szCs w:val="28"/>
              </w:rPr>
            </w:pPr>
          </w:p>
          <w:p w:rsidR="00B37A77" w:rsidRPr="00B35663" w:rsidRDefault="00B37A77" w:rsidP="006C2369">
            <w:pPr>
              <w:jc w:val="center"/>
              <w:rPr>
                <w:rFonts w:asciiTheme="minorEastAsia" w:hAnsiTheme="minorEastAsia"/>
                <w:bCs/>
                <w:sz w:val="28"/>
                <w:szCs w:val="28"/>
              </w:rPr>
            </w:pPr>
            <w:r w:rsidRPr="00B35663">
              <w:rPr>
                <w:rFonts w:asciiTheme="minorEastAsia" w:hAnsiTheme="minorEastAsia" w:hint="eastAsia"/>
                <w:bCs/>
                <w:sz w:val="28"/>
                <w:szCs w:val="28"/>
              </w:rPr>
              <w:t>参与单位名称</w:t>
            </w:r>
            <w:r>
              <w:rPr>
                <w:rFonts w:asciiTheme="minorEastAsia" w:hAnsiTheme="minorEastAsia" w:hint="eastAsia"/>
                <w:bCs/>
                <w:sz w:val="28"/>
                <w:szCs w:val="28"/>
              </w:rPr>
              <w:t>及人员姓名</w:t>
            </w:r>
          </w:p>
        </w:tc>
        <w:tc>
          <w:tcPr>
            <w:tcW w:w="6600" w:type="dxa"/>
            <w:noWrap/>
            <w:hideMark/>
          </w:tcPr>
          <w:p w:rsidR="00E17D6C" w:rsidRDefault="00FF1944" w:rsidP="006C2369">
            <w:pPr>
              <w:rPr>
                <w:rFonts w:asciiTheme="minorEastAsia" w:hAnsiTheme="minorEastAsia"/>
                <w:sz w:val="28"/>
                <w:szCs w:val="28"/>
              </w:rPr>
            </w:pPr>
            <w:r w:rsidRPr="00FF1944">
              <w:rPr>
                <w:rFonts w:asciiTheme="minorEastAsia" w:hAnsiTheme="minorEastAsia" w:hint="eastAsia"/>
                <w:sz w:val="28"/>
                <w:szCs w:val="28"/>
              </w:rPr>
              <w:t>中信证券</w:t>
            </w:r>
            <w:r w:rsidR="00E17D6C">
              <w:rPr>
                <w:rFonts w:asciiTheme="minorEastAsia" w:hAnsiTheme="minorEastAsia" w:hint="eastAsia"/>
                <w:sz w:val="28"/>
                <w:szCs w:val="28"/>
              </w:rPr>
              <w:t xml:space="preserve"> 刘雯蜀</w:t>
            </w:r>
          </w:p>
          <w:p w:rsidR="00E17D6C" w:rsidRDefault="00FF1944" w:rsidP="006C2369">
            <w:pPr>
              <w:rPr>
                <w:rFonts w:asciiTheme="minorEastAsia" w:hAnsiTheme="minorEastAsia"/>
                <w:sz w:val="28"/>
                <w:szCs w:val="28"/>
              </w:rPr>
            </w:pPr>
            <w:r w:rsidRPr="00FF1944">
              <w:rPr>
                <w:rFonts w:asciiTheme="minorEastAsia" w:hAnsiTheme="minorEastAsia" w:hint="eastAsia"/>
                <w:sz w:val="28"/>
                <w:szCs w:val="28"/>
              </w:rPr>
              <w:t>国信证券</w:t>
            </w:r>
            <w:r w:rsidR="00E17D6C">
              <w:rPr>
                <w:rFonts w:asciiTheme="minorEastAsia" w:hAnsiTheme="minorEastAsia" w:hint="eastAsia"/>
                <w:sz w:val="28"/>
                <w:szCs w:val="28"/>
              </w:rPr>
              <w:t xml:space="preserve"> 何立中 高耀华</w:t>
            </w:r>
          </w:p>
          <w:p w:rsidR="00E17D6C" w:rsidRDefault="00FF1944" w:rsidP="006C2369">
            <w:pPr>
              <w:rPr>
                <w:rFonts w:asciiTheme="minorEastAsia" w:hAnsiTheme="minorEastAsia"/>
                <w:sz w:val="28"/>
                <w:szCs w:val="28"/>
              </w:rPr>
            </w:pPr>
            <w:r w:rsidRPr="00FF1944">
              <w:rPr>
                <w:rFonts w:asciiTheme="minorEastAsia" w:hAnsiTheme="minorEastAsia" w:hint="eastAsia"/>
                <w:sz w:val="28"/>
                <w:szCs w:val="28"/>
              </w:rPr>
              <w:t>方正证券</w:t>
            </w:r>
            <w:r w:rsidR="00E17D6C">
              <w:rPr>
                <w:rFonts w:asciiTheme="minorEastAsia" w:hAnsiTheme="minorEastAsia" w:hint="eastAsia"/>
                <w:sz w:val="28"/>
                <w:szCs w:val="28"/>
              </w:rPr>
              <w:t xml:space="preserve"> 付然 </w:t>
            </w:r>
            <w:r w:rsidRPr="00FF1944">
              <w:rPr>
                <w:rFonts w:asciiTheme="minorEastAsia" w:hAnsiTheme="minorEastAsia" w:hint="eastAsia"/>
                <w:sz w:val="28"/>
                <w:szCs w:val="28"/>
              </w:rPr>
              <w:t xml:space="preserve"> </w:t>
            </w:r>
          </w:p>
          <w:p w:rsidR="00E17D6C" w:rsidRDefault="00FF1944" w:rsidP="006C2369">
            <w:pPr>
              <w:rPr>
                <w:rFonts w:asciiTheme="minorEastAsia" w:hAnsiTheme="minorEastAsia"/>
                <w:sz w:val="28"/>
                <w:szCs w:val="28"/>
              </w:rPr>
            </w:pPr>
            <w:r w:rsidRPr="00FF1944">
              <w:rPr>
                <w:rFonts w:asciiTheme="minorEastAsia" w:hAnsiTheme="minorEastAsia" w:hint="eastAsia"/>
                <w:sz w:val="28"/>
                <w:szCs w:val="28"/>
              </w:rPr>
              <w:t>国元证券</w:t>
            </w:r>
            <w:r w:rsidR="00E17D6C">
              <w:rPr>
                <w:rFonts w:asciiTheme="minorEastAsia" w:hAnsiTheme="minorEastAsia" w:hint="eastAsia"/>
                <w:sz w:val="28"/>
                <w:szCs w:val="28"/>
              </w:rPr>
              <w:t xml:space="preserve"> 宗建树</w:t>
            </w:r>
            <w:r w:rsidRPr="00FF1944">
              <w:rPr>
                <w:rFonts w:asciiTheme="minorEastAsia" w:hAnsiTheme="minorEastAsia" w:hint="eastAsia"/>
                <w:sz w:val="28"/>
                <w:szCs w:val="28"/>
              </w:rPr>
              <w:t xml:space="preserve"> </w:t>
            </w:r>
          </w:p>
          <w:p w:rsidR="00E17D6C" w:rsidRDefault="00FF1944" w:rsidP="006C2369">
            <w:pPr>
              <w:rPr>
                <w:rFonts w:asciiTheme="minorEastAsia" w:hAnsiTheme="minorEastAsia"/>
                <w:sz w:val="28"/>
                <w:szCs w:val="28"/>
              </w:rPr>
            </w:pPr>
            <w:r w:rsidRPr="00FF1944">
              <w:rPr>
                <w:rFonts w:asciiTheme="minorEastAsia" w:hAnsiTheme="minorEastAsia" w:hint="eastAsia"/>
                <w:sz w:val="28"/>
                <w:szCs w:val="28"/>
              </w:rPr>
              <w:t>太平洋证券</w:t>
            </w:r>
            <w:r w:rsidR="00E17D6C">
              <w:rPr>
                <w:rFonts w:asciiTheme="minorEastAsia" w:hAnsiTheme="minorEastAsia" w:hint="eastAsia"/>
                <w:sz w:val="28"/>
                <w:szCs w:val="28"/>
              </w:rPr>
              <w:t xml:space="preserve"> 王文龙 李婉云</w:t>
            </w:r>
          </w:p>
          <w:p w:rsidR="00B37A77" w:rsidRPr="006C2369" w:rsidRDefault="00FF1944" w:rsidP="006C2369">
            <w:pPr>
              <w:rPr>
                <w:rFonts w:asciiTheme="minorEastAsia" w:hAnsiTheme="minorEastAsia"/>
                <w:sz w:val="28"/>
                <w:szCs w:val="28"/>
              </w:rPr>
            </w:pPr>
            <w:r w:rsidRPr="00FF1944">
              <w:rPr>
                <w:rFonts w:asciiTheme="minorEastAsia" w:hAnsiTheme="minorEastAsia" w:hint="eastAsia"/>
                <w:sz w:val="28"/>
                <w:szCs w:val="28"/>
              </w:rPr>
              <w:t>中建投证券</w:t>
            </w:r>
            <w:r w:rsidR="006C2369">
              <w:rPr>
                <w:rFonts w:asciiTheme="minorEastAsia" w:hAnsiTheme="minorEastAsia" w:hint="eastAsia"/>
                <w:sz w:val="28"/>
                <w:szCs w:val="28"/>
              </w:rPr>
              <w:t xml:space="preserve"> </w:t>
            </w:r>
            <w:r w:rsidR="00E17D6C">
              <w:rPr>
                <w:rFonts w:asciiTheme="minorEastAsia" w:hAnsiTheme="minorEastAsia" w:hint="eastAsia"/>
                <w:sz w:val="28"/>
                <w:szCs w:val="28"/>
              </w:rPr>
              <w:t>金戈 韩鹏程</w:t>
            </w:r>
          </w:p>
        </w:tc>
      </w:tr>
      <w:tr w:rsidR="00B37A77" w:rsidRPr="00C6172A" w:rsidTr="00B37A77">
        <w:trPr>
          <w:trHeight w:val="285"/>
        </w:trPr>
        <w:tc>
          <w:tcPr>
            <w:tcW w:w="1696" w:type="dxa"/>
            <w:noWrap/>
            <w:vAlign w:val="center"/>
            <w:hideMark/>
          </w:tcPr>
          <w:p w:rsidR="00B37A77" w:rsidRPr="00B35663" w:rsidRDefault="00B37A77" w:rsidP="00432224">
            <w:pPr>
              <w:jc w:val="center"/>
              <w:rPr>
                <w:rFonts w:asciiTheme="minorEastAsia" w:hAnsiTheme="minorEastAsia"/>
                <w:bCs/>
                <w:sz w:val="28"/>
                <w:szCs w:val="28"/>
              </w:rPr>
            </w:pPr>
            <w:r w:rsidRPr="00B35663">
              <w:rPr>
                <w:rFonts w:asciiTheme="minorEastAsia" w:hAnsiTheme="minorEastAsia" w:hint="eastAsia"/>
                <w:bCs/>
                <w:sz w:val="28"/>
                <w:szCs w:val="28"/>
              </w:rPr>
              <w:t>时间</w:t>
            </w:r>
          </w:p>
        </w:tc>
        <w:tc>
          <w:tcPr>
            <w:tcW w:w="6600" w:type="dxa"/>
            <w:noWrap/>
            <w:hideMark/>
          </w:tcPr>
          <w:p w:rsidR="00B37A77" w:rsidRPr="00C6172A" w:rsidRDefault="00B37A77" w:rsidP="00CB65A2">
            <w:pPr>
              <w:ind w:firstLineChars="200" w:firstLine="560"/>
              <w:rPr>
                <w:rFonts w:asciiTheme="minorEastAsia" w:hAnsiTheme="minorEastAsia"/>
                <w:sz w:val="28"/>
                <w:szCs w:val="28"/>
              </w:rPr>
            </w:pPr>
            <w:r w:rsidRPr="00C6172A">
              <w:rPr>
                <w:rFonts w:asciiTheme="minorEastAsia" w:hAnsiTheme="minorEastAsia" w:hint="eastAsia"/>
                <w:sz w:val="28"/>
                <w:szCs w:val="28"/>
              </w:rPr>
              <w:t xml:space="preserve">　</w:t>
            </w:r>
            <w:r>
              <w:rPr>
                <w:rFonts w:asciiTheme="minorEastAsia" w:hAnsiTheme="minorEastAsia" w:hint="eastAsia"/>
                <w:sz w:val="28"/>
                <w:szCs w:val="28"/>
              </w:rPr>
              <w:t>2017年</w:t>
            </w:r>
            <w:r w:rsidR="00CB65A2">
              <w:rPr>
                <w:rFonts w:asciiTheme="minorEastAsia" w:hAnsiTheme="minorEastAsia"/>
                <w:sz w:val="28"/>
                <w:szCs w:val="28"/>
              </w:rPr>
              <w:t>9</w:t>
            </w:r>
            <w:r>
              <w:rPr>
                <w:rFonts w:asciiTheme="minorEastAsia" w:hAnsiTheme="minorEastAsia" w:hint="eastAsia"/>
                <w:sz w:val="28"/>
                <w:szCs w:val="28"/>
              </w:rPr>
              <w:t>月</w:t>
            </w:r>
            <w:r w:rsidR="00CB65A2">
              <w:rPr>
                <w:rFonts w:asciiTheme="minorEastAsia" w:hAnsiTheme="minorEastAsia"/>
                <w:sz w:val="28"/>
                <w:szCs w:val="28"/>
              </w:rPr>
              <w:t>14</w:t>
            </w:r>
            <w:r>
              <w:rPr>
                <w:rFonts w:asciiTheme="minorEastAsia" w:hAnsiTheme="minorEastAsia" w:hint="eastAsia"/>
                <w:sz w:val="28"/>
                <w:szCs w:val="28"/>
              </w:rPr>
              <w:t>日</w:t>
            </w:r>
          </w:p>
        </w:tc>
      </w:tr>
      <w:tr w:rsidR="00B37A77" w:rsidRPr="00C6172A" w:rsidTr="00B37A77">
        <w:trPr>
          <w:trHeight w:val="285"/>
        </w:trPr>
        <w:tc>
          <w:tcPr>
            <w:tcW w:w="1696" w:type="dxa"/>
            <w:noWrap/>
            <w:vAlign w:val="center"/>
            <w:hideMark/>
          </w:tcPr>
          <w:p w:rsidR="00B37A77" w:rsidRPr="00B35663" w:rsidRDefault="00B37A77" w:rsidP="00432224">
            <w:pPr>
              <w:jc w:val="center"/>
              <w:rPr>
                <w:rFonts w:asciiTheme="minorEastAsia" w:hAnsiTheme="minorEastAsia"/>
                <w:bCs/>
                <w:sz w:val="28"/>
                <w:szCs w:val="28"/>
              </w:rPr>
            </w:pPr>
            <w:r w:rsidRPr="00B35663">
              <w:rPr>
                <w:rFonts w:asciiTheme="minorEastAsia" w:hAnsiTheme="minorEastAsia" w:hint="eastAsia"/>
                <w:bCs/>
                <w:sz w:val="28"/>
                <w:szCs w:val="28"/>
              </w:rPr>
              <w:t>地点</w:t>
            </w:r>
          </w:p>
        </w:tc>
        <w:tc>
          <w:tcPr>
            <w:tcW w:w="6600" w:type="dxa"/>
            <w:noWrap/>
            <w:hideMark/>
          </w:tcPr>
          <w:p w:rsidR="00B37A77" w:rsidRPr="00C6172A" w:rsidRDefault="00B37A77" w:rsidP="00432224">
            <w:pPr>
              <w:ind w:firstLineChars="200" w:firstLine="560"/>
              <w:rPr>
                <w:rFonts w:asciiTheme="minorEastAsia" w:hAnsiTheme="minorEastAsia"/>
                <w:sz w:val="28"/>
                <w:szCs w:val="28"/>
              </w:rPr>
            </w:pPr>
            <w:r w:rsidRPr="00C6172A">
              <w:rPr>
                <w:rFonts w:asciiTheme="minorEastAsia" w:hAnsiTheme="minorEastAsia" w:hint="eastAsia"/>
                <w:sz w:val="28"/>
                <w:szCs w:val="28"/>
              </w:rPr>
              <w:t xml:space="preserve">　</w:t>
            </w:r>
            <w:r>
              <w:rPr>
                <w:rFonts w:asciiTheme="minorEastAsia" w:hAnsiTheme="minorEastAsia" w:hint="eastAsia"/>
                <w:sz w:val="28"/>
                <w:szCs w:val="28"/>
              </w:rPr>
              <w:t>公司会议室</w:t>
            </w:r>
          </w:p>
        </w:tc>
      </w:tr>
      <w:tr w:rsidR="00B37A77" w:rsidRPr="00C6172A" w:rsidTr="00A2568A">
        <w:trPr>
          <w:trHeight w:val="285"/>
        </w:trPr>
        <w:tc>
          <w:tcPr>
            <w:tcW w:w="1696" w:type="dxa"/>
            <w:noWrap/>
            <w:vAlign w:val="center"/>
            <w:hideMark/>
          </w:tcPr>
          <w:p w:rsidR="00B37A77" w:rsidRPr="00B35663" w:rsidRDefault="00B37A77" w:rsidP="00432224">
            <w:pPr>
              <w:jc w:val="center"/>
              <w:rPr>
                <w:rFonts w:asciiTheme="minorEastAsia" w:hAnsiTheme="minorEastAsia"/>
                <w:bCs/>
                <w:sz w:val="28"/>
                <w:szCs w:val="28"/>
              </w:rPr>
            </w:pPr>
            <w:r w:rsidRPr="00B35663">
              <w:rPr>
                <w:rFonts w:asciiTheme="minorEastAsia" w:hAnsiTheme="minorEastAsia" w:hint="eastAsia"/>
                <w:bCs/>
                <w:sz w:val="28"/>
                <w:szCs w:val="28"/>
              </w:rPr>
              <w:t>公司接待人员姓名</w:t>
            </w:r>
          </w:p>
        </w:tc>
        <w:tc>
          <w:tcPr>
            <w:tcW w:w="6600" w:type="dxa"/>
            <w:noWrap/>
            <w:vAlign w:val="center"/>
            <w:hideMark/>
          </w:tcPr>
          <w:p w:rsidR="00B37A77" w:rsidRPr="00C6172A" w:rsidRDefault="00B37A77" w:rsidP="00A2568A">
            <w:pPr>
              <w:ind w:firstLineChars="200" w:firstLine="560"/>
              <w:rPr>
                <w:rFonts w:asciiTheme="minorEastAsia" w:hAnsiTheme="minorEastAsia"/>
                <w:sz w:val="28"/>
                <w:szCs w:val="28"/>
              </w:rPr>
            </w:pPr>
            <w:r>
              <w:rPr>
                <w:rFonts w:asciiTheme="minorEastAsia" w:hAnsiTheme="minorEastAsia" w:hint="eastAsia"/>
                <w:sz w:val="28"/>
                <w:szCs w:val="28"/>
              </w:rPr>
              <w:t>赵伟（董秘）</w:t>
            </w:r>
            <w:r w:rsidR="00BF402C">
              <w:rPr>
                <w:rFonts w:asciiTheme="minorEastAsia" w:hAnsiTheme="minorEastAsia" w:hint="eastAsia"/>
                <w:sz w:val="28"/>
                <w:szCs w:val="28"/>
              </w:rPr>
              <w:t>、吴晶晶（证代）</w:t>
            </w:r>
          </w:p>
        </w:tc>
      </w:tr>
      <w:tr w:rsidR="00B37A77" w:rsidRPr="00C6172A" w:rsidTr="00B37A77">
        <w:trPr>
          <w:trHeight w:val="1642"/>
        </w:trPr>
        <w:tc>
          <w:tcPr>
            <w:tcW w:w="1696" w:type="dxa"/>
            <w:noWrap/>
            <w:vAlign w:val="center"/>
            <w:hideMark/>
          </w:tcPr>
          <w:p w:rsidR="00B37A77" w:rsidRPr="00B35663" w:rsidRDefault="00B37A77" w:rsidP="00432224">
            <w:pPr>
              <w:jc w:val="center"/>
              <w:rPr>
                <w:rFonts w:asciiTheme="minorEastAsia" w:hAnsiTheme="minorEastAsia"/>
                <w:bCs/>
                <w:sz w:val="28"/>
                <w:szCs w:val="28"/>
              </w:rPr>
            </w:pPr>
            <w:r w:rsidRPr="00B35663">
              <w:rPr>
                <w:rFonts w:asciiTheme="minorEastAsia" w:hAnsiTheme="minorEastAsia" w:hint="eastAsia"/>
                <w:bCs/>
                <w:sz w:val="28"/>
                <w:szCs w:val="28"/>
              </w:rPr>
              <w:t>投资者关系活动主要内容介绍</w:t>
            </w:r>
          </w:p>
        </w:tc>
        <w:tc>
          <w:tcPr>
            <w:tcW w:w="6600" w:type="dxa"/>
            <w:noWrap/>
            <w:hideMark/>
          </w:tcPr>
          <w:p w:rsidR="00A332D7" w:rsidRPr="005A3940" w:rsidRDefault="00BF402C" w:rsidP="005A3940">
            <w:pPr>
              <w:pStyle w:val="a6"/>
              <w:numPr>
                <w:ilvl w:val="0"/>
                <w:numId w:val="3"/>
              </w:numPr>
              <w:ind w:firstLineChars="0"/>
              <w:rPr>
                <w:rFonts w:asciiTheme="minorEastAsia" w:hAnsiTheme="minorEastAsia"/>
                <w:b/>
                <w:sz w:val="28"/>
                <w:szCs w:val="28"/>
              </w:rPr>
            </w:pPr>
            <w:r w:rsidRPr="005A3940">
              <w:rPr>
                <w:rFonts w:asciiTheme="minorEastAsia" w:hAnsiTheme="minorEastAsia"/>
                <w:b/>
                <w:sz w:val="28"/>
                <w:szCs w:val="28"/>
              </w:rPr>
              <w:t>对公司整体情况进行简要介绍</w:t>
            </w:r>
            <w:r w:rsidRPr="005A3940">
              <w:rPr>
                <w:rFonts w:asciiTheme="minorEastAsia" w:hAnsiTheme="minorEastAsia" w:hint="eastAsia"/>
                <w:b/>
                <w:sz w:val="28"/>
                <w:szCs w:val="28"/>
              </w:rPr>
              <w:t>。</w:t>
            </w:r>
          </w:p>
          <w:p w:rsidR="00DE7AD2" w:rsidRPr="005A3940" w:rsidRDefault="005A3940" w:rsidP="005A3940">
            <w:pPr>
              <w:rPr>
                <w:rFonts w:asciiTheme="minorEastAsia" w:hAnsiTheme="minorEastAsia"/>
                <w:sz w:val="28"/>
                <w:szCs w:val="28"/>
              </w:rPr>
            </w:pPr>
            <w:r w:rsidRPr="005A3940">
              <w:rPr>
                <w:rFonts w:asciiTheme="minorEastAsia" w:hAnsiTheme="minorEastAsia"/>
                <w:sz w:val="28"/>
                <w:szCs w:val="28"/>
              </w:rPr>
              <w:t>公司</w:t>
            </w:r>
            <w:r w:rsidR="00DE7AD2" w:rsidRPr="005A3940">
              <w:rPr>
                <w:rFonts w:asciiTheme="minorEastAsia" w:hAnsiTheme="minorEastAsia"/>
                <w:sz w:val="28"/>
                <w:szCs w:val="28"/>
              </w:rPr>
              <w:t>成立于</w:t>
            </w:r>
            <w:r w:rsidRPr="005A3940">
              <w:rPr>
                <w:rFonts w:asciiTheme="minorEastAsia" w:hAnsiTheme="minorEastAsia" w:hint="eastAsia"/>
                <w:sz w:val="28"/>
                <w:szCs w:val="28"/>
              </w:rPr>
              <w:t>19</w:t>
            </w:r>
            <w:r w:rsidR="00DE7AD2" w:rsidRPr="005A3940">
              <w:rPr>
                <w:rFonts w:asciiTheme="minorEastAsia" w:hAnsiTheme="minorEastAsia" w:hint="eastAsia"/>
                <w:sz w:val="28"/>
                <w:szCs w:val="28"/>
              </w:rPr>
              <w:t>9</w:t>
            </w:r>
            <w:r w:rsidR="00DE7AD2" w:rsidRPr="005A3940">
              <w:rPr>
                <w:rFonts w:asciiTheme="minorEastAsia" w:hAnsiTheme="minorEastAsia"/>
                <w:sz w:val="28"/>
                <w:szCs w:val="28"/>
              </w:rPr>
              <w:t>6年，</w:t>
            </w:r>
            <w:r w:rsidRPr="005A3940">
              <w:rPr>
                <w:rFonts w:asciiTheme="minorEastAsia" w:hAnsiTheme="minorEastAsia"/>
                <w:sz w:val="28"/>
                <w:szCs w:val="28"/>
              </w:rPr>
              <w:t>是一家国内领先的专业化平台型软件与信息化服务提供商，致力于</w:t>
            </w:r>
            <w:r w:rsidRPr="005A3940">
              <w:rPr>
                <w:rFonts w:asciiTheme="minorEastAsia" w:hAnsiTheme="minorEastAsia" w:hint="eastAsia"/>
                <w:sz w:val="28"/>
                <w:szCs w:val="28"/>
              </w:rPr>
              <w:t>利</w:t>
            </w:r>
            <w:r w:rsidRPr="005A3940">
              <w:rPr>
                <w:rFonts w:asciiTheme="minorEastAsia" w:hAnsiTheme="minorEastAsia"/>
                <w:sz w:val="28"/>
                <w:szCs w:val="28"/>
              </w:rPr>
              <w:t>用</w:t>
            </w:r>
            <w:r w:rsidRPr="005A3940">
              <w:rPr>
                <w:rFonts w:asciiTheme="minorEastAsia" w:hAnsiTheme="minorEastAsia" w:hint="eastAsia"/>
                <w:sz w:val="28"/>
                <w:szCs w:val="28"/>
              </w:rPr>
              <w:t>自主研发的</w:t>
            </w:r>
            <w:r w:rsidRPr="005A3940">
              <w:rPr>
                <w:rFonts w:asciiTheme="minorEastAsia" w:hAnsiTheme="minorEastAsia"/>
                <w:sz w:val="28"/>
                <w:szCs w:val="28"/>
              </w:rPr>
              <w:t>LiveBOS灵动架构平台为证券、期货、银行、电子交易市场等金融行业及其它行业提供以业务流程管理</w:t>
            </w:r>
            <w:r w:rsidRPr="005A3940">
              <w:rPr>
                <w:rFonts w:asciiTheme="minorEastAsia" w:hAnsiTheme="minorEastAsia"/>
                <w:sz w:val="28"/>
                <w:szCs w:val="28"/>
              </w:rPr>
              <w:lastRenderedPageBreak/>
              <w:t>（BPM）为核心，以“互联网+”应用为重点方向的信息化解决方案。公司积极投身于Fintech领域的研发，不断探索兼顾合规性、安全性、创新性、符合下游行业需求的产品及应用。公司的业务主要涉及证券、期货、银行、信托、电子交易市场等多个行业和领域，业务范围涵盖前、中、后台等多个层次。</w:t>
            </w:r>
          </w:p>
          <w:p w:rsidR="00BF402C" w:rsidRPr="005A3940" w:rsidRDefault="00BF402C" w:rsidP="005A3940">
            <w:pPr>
              <w:pStyle w:val="a6"/>
              <w:numPr>
                <w:ilvl w:val="0"/>
                <w:numId w:val="3"/>
              </w:numPr>
              <w:ind w:firstLineChars="0"/>
              <w:rPr>
                <w:rFonts w:asciiTheme="minorEastAsia" w:hAnsiTheme="minorEastAsia"/>
                <w:b/>
                <w:sz w:val="28"/>
                <w:szCs w:val="28"/>
              </w:rPr>
            </w:pPr>
            <w:r w:rsidRPr="005A3940">
              <w:rPr>
                <w:rFonts w:asciiTheme="minorEastAsia" w:hAnsiTheme="minorEastAsia" w:hint="eastAsia"/>
                <w:b/>
                <w:sz w:val="28"/>
                <w:szCs w:val="28"/>
              </w:rPr>
              <w:t>调研问题</w:t>
            </w:r>
            <w:r w:rsidR="00CB65A2" w:rsidRPr="005A3940">
              <w:rPr>
                <w:rFonts w:asciiTheme="minorEastAsia" w:hAnsiTheme="minorEastAsia" w:hint="eastAsia"/>
                <w:b/>
                <w:sz w:val="28"/>
                <w:szCs w:val="28"/>
              </w:rPr>
              <w:t>问答情况</w:t>
            </w:r>
            <w:r w:rsidRPr="005A3940">
              <w:rPr>
                <w:rFonts w:asciiTheme="minorEastAsia" w:hAnsiTheme="minorEastAsia" w:hint="eastAsia"/>
                <w:b/>
                <w:sz w:val="28"/>
                <w:szCs w:val="28"/>
              </w:rPr>
              <w:t>如下：</w:t>
            </w:r>
          </w:p>
          <w:p w:rsidR="00581461" w:rsidRPr="00581461" w:rsidRDefault="00581461" w:rsidP="00581461">
            <w:pPr>
              <w:pStyle w:val="a7"/>
              <w:kinsoku w:val="0"/>
              <w:overflowPunct w:val="0"/>
              <w:spacing w:before="177" w:line="396" w:lineRule="auto"/>
              <w:ind w:right="110"/>
              <w:jc w:val="both"/>
              <w:rPr>
                <w:spacing w:val="-10"/>
                <w:sz w:val="28"/>
                <w:szCs w:val="28"/>
              </w:rPr>
            </w:pPr>
            <w:r>
              <w:rPr>
                <w:rFonts w:hint="eastAsia"/>
                <w:spacing w:val="-10"/>
                <w:sz w:val="28"/>
                <w:szCs w:val="28"/>
              </w:rPr>
              <w:t>1、</w:t>
            </w:r>
            <w:r w:rsidRPr="00581461">
              <w:rPr>
                <w:spacing w:val="-10"/>
                <w:sz w:val="28"/>
                <w:szCs w:val="28"/>
              </w:rPr>
              <w:t>公司</w:t>
            </w:r>
            <w:r w:rsidRPr="00581461">
              <w:rPr>
                <w:rFonts w:hint="eastAsia"/>
                <w:spacing w:val="-10"/>
                <w:sz w:val="28"/>
                <w:szCs w:val="28"/>
              </w:rPr>
              <w:t>研发费用率会保持目前的高比例吗？公司的人员变化情况？技术和研发人员的占比以及公司未来的人员如何规划？</w:t>
            </w: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答：公司一贯重视研发投入，研发投入的原则是根据市场需求、监管导向、公司战略方向等进行具体的投入。公司2016年底员工人数为699人，2017年员工人数增长较快，目前员工人数已经800多人。未来公司将根据经营规划进行员工的选聘。</w:t>
            </w:r>
          </w:p>
          <w:p w:rsidR="00581461" w:rsidRPr="00581461" w:rsidRDefault="00581461" w:rsidP="00581461">
            <w:pPr>
              <w:pStyle w:val="a7"/>
              <w:kinsoku w:val="0"/>
              <w:overflowPunct w:val="0"/>
              <w:spacing w:before="177" w:line="396" w:lineRule="auto"/>
              <w:ind w:right="110"/>
              <w:jc w:val="both"/>
              <w:rPr>
                <w:spacing w:val="-10"/>
                <w:sz w:val="28"/>
                <w:szCs w:val="28"/>
              </w:rPr>
            </w:pP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2、适当性改造对公司的影响？</w:t>
            </w: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答：</w:t>
            </w:r>
            <w:r w:rsidRPr="00581461">
              <w:rPr>
                <w:spacing w:val="-10"/>
                <w:sz w:val="28"/>
                <w:szCs w:val="28"/>
              </w:rPr>
              <w:t>投资者适当性等相关产品的升级、改造工作，</w:t>
            </w:r>
            <w:r w:rsidRPr="00581461">
              <w:rPr>
                <w:rFonts w:hint="eastAsia"/>
                <w:spacing w:val="-10"/>
                <w:sz w:val="28"/>
                <w:szCs w:val="28"/>
              </w:rPr>
              <w:t>对公司下半年的收入会有一定的贡献。</w:t>
            </w:r>
          </w:p>
          <w:p w:rsidR="00581461" w:rsidRPr="00581461" w:rsidRDefault="00581461" w:rsidP="00581461">
            <w:pPr>
              <w:pStyle w:val="a7"/>
              <w:kinsoku w:val="0"/>
              <w:overflowPunct w:val="0"/>
              <w:spacing w:before="177" w:line="396" w:lineRule="auto"/>
              <w:ind w:right="110"/>
              <w:jc w:val="both"/>
              <w:rPr>
                <w:spacing w:val="-10"/>
                <w:sz w:val="28"/>
                <w:szCs w:val="28"/>
              </w:rPr>
            </w:pP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lastRenderedPageBreak/>
              <w:t>3、公司技术人员的薪酬如何？</w:t>
            </w: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答：公司会根据市场的水平及人才层次的变化弹性调整，给员工提供有竞争力的薪酬。</w:t>
            </w:r>
            <w:bookmarkStart w:id="0" w:name="_GoBack"/>
            <w:bookmarkEnd w:id="0"/>
          </w:p>
          <w:p w:rsidR="00581461" w:rsidRPr="00581461" w:rsidRDefault="00581461" w:rsidP="00581461">
            <w:pPr>
              <w:pStyle w:val="a7"/>
              <w:kinsoku w:val="0"/>
              <w:overflowPunct w:val="0"/>
              <w:spacing w:before="177" w:line="396" w:lineRule="auto"/>
              <w:ind w:right="110"/>
              <w:jc w:val="both"/>
              <w:rPr>
                <w:spacing w:val="-10"/>
                <w:sz w:val="28"/>
                <w:szCs w:val="28"/>
              </w:rPr>
            </w:pP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4、公司在证券行业信息化方面的未来发展如何考虑？</w:t>
            </w: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答：</w:t>
            </w:r>
            <w:r w:rsidRPr="00581461">
              <w:rPr>
                <w:spacing w:val="-10"/>
                <w:sz w:val="28"/>
                <w:szCs w:val="28"/>
              </w:rPr>
              <w:t>公司会继续加大技术创新和模式创新，强化核心竞争力</w:t>
            </w:r>
            <w:r w:rsidRPr="00581461">
              <w:rPr>
                <w:rFonts w:hint="eastAsia"/>
                <w:spacing w:val="-10"/>
                <w:sz w:val="28"/>
                <w:szCs w:val="28"/>
              </w:rPr>
              <w:t>。在证券行业信息化方面，公司会继续加强原有业务线的产品竞争力，同时会加快其他业务线的产品研发和开拓。</w:t>
            </w:r>
          </w:p>
          <w:p w:rsidR="00581461" w:rsidRPr="00581461" w:rsidRDefault="00581461" w:rsidP="00581461">
            <w:pPr>
              <w:pStyle w:val="a7"/>
              <w:kinsoku w:val="0"/>
              <w:overflowPunct w:val="0"/>
              <w:spacing w:before="177" w:line="396" w:lineRule="auto"/>
              <w:ind w:right="110"/>
              <w:jc w:val="both"/>
              <w:rPr>
                <w:spacing w:val="-10"/>
                <w:sz w:val="28"/>
                <w:szCs w:val="28"/>
              </w:rPr>
            </w:pP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5、公司打算采取什么样的战略来应对竞争和扩大市场份额？</w:t>
            </w: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答：公司主要通过对行业需求的趋势性与技术方向的研究，采用产品与技术的差异性创新，不断扩大细分领域的发展优势，同时通过服务的优化以及与客户灵活的合作模式，获得客户认可进而改变市场格局。</w:t>
            </w:r>
          </w:p>
          <w:p w:rsidR="00581461" w:rsidRPr="00581461" w:rsidRDefault="00581461" w:rsidP="00581461">
            <w:pPr>
              <w:pStyle w:val="a7"/>
              <w:kinsoku w:val="0"/>
              <w:overflowPunct w:val="0"/>
              <w:spacing w:before="177" w:line="396" w:lineRule="auto"/>
              <w:ind w:right="110"/>
              <w:jc w:val="both"/>
              <w:rPr>
                <w:spacing w:val="-10"/>
                <w:sz w:val="28"/>
                <w:szCs w:val="28"/>
              </w:rPr>
            </w:pP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6、请谈谈公司定制软件会计政策的曾经变化？</w:t>
            </w: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答：</w:t>
            </w:r>
            <w:r w:rsidRPr="00581461">
              <w:rPr>
                <w:spacing w:val="-10"/>
                <w:sz w:val="28"/>
                <w:szCs w:val="28"/>
              </w:rPr>
              <w:t>为了更客观公允地反映公司的财务状况和经营成果</w:t>
            </w:r>
            <w:r w:rsidRPr="00581461">
              <w:rPr>
                <w:spacing w:val="-10"/>
                <w:sz w:val="28"/>
                <w:szCs w:val="28"/>
              </w:rPr>
              <w:lastRenderedPageBreak/>
              <w:t>，结合公司定制软件业务的实际情况，公司自2014年10月1日起对定制软件业务的收入确认原则进行变更，定制软件业务的收入确认原则由完工百分比法变更为项目已经完成并取得客户验收时确认收入。</w:t>
            </w:r>
          </w:p>
          <w:p w:rsidR="00581461" w:rsidRPr="00581461" w:rsidRDefault="00581461" w:rsidP="00581461">
            <w:pPr>
              <w:rPr>
                <w:sz w:val="28"/>
                <w:szCs w:val="28"/>
              </w:rPr>
            </w:pP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7、每年新增客户对公司收入贡献有多大？</w:t>
            </w:r>
          </w:p>
          <w:p w:rsidR="00581461" w:rsidRPr="00581461" w:rsidRDefault="00581461" w:rsidP="00581461">
            <w:pPr>
              <w:pStyle w:val="a7"/>
              <w:kinsoku w:val="0"/>
              <w:overflowPunct w:val="0"/>
              <w:spacing w:before="177" w:line="396" w:lineRule="auto"/>
              <w:ind w:right="110"/>
              <w:jc w:val="both"/>
              <w:rPr>
                <w:spacing w:val="-10"/>
                <w:sz w:val="28"/>
                <w:szCs w:val="28"/>
              </w:rPr>
            </w:pPr>
            <w:r w:rsidRPr="00581461">
              <w:rPr>
                <w:rFonts w:hint="eastAsia"/>
                <w:spacing w:val="-10"/>
                <w:sz w:val="28"/>
                <w:szCs w:val="28"/>
              </w:rPr>
              <w:t xml:space="preserve">答：前3年，公司每年新增客户的收入贡献大体占公司收入的20%左右。 </w:t>
            </w:r>
          </w:p>
          <w:p w:rsidR="00581461" w:rsidRPr="00581461" w:rsidRDefault="00581461" w:rsidP="00581461">
            <w:pPr>
              <w:rPr>
                <w:sz w:val="28"/>
                <w:szCs w:val="28"/>
              </w:rPr>
            </w:pPr>
          </w:p>
          <w:p w:rsidR="00354E4F" w:rsidRPr="00581461" w:rsidRDefault="00354E4F" w:rsidP="00ED6740">
            <w:pPr>
              <w:rPr>
                <w:rFonts w:asciiTheme="minorEastAsia" w:hAnsiTheme="minorEastAsia"/>
                <w:sz w:val="28"/>
                <w:szCs w:val="28"/>
              </w:rPr>
            </w:pPr>
          </w:p>
          <w:p w:rsidR="00354E4F" w:rsidRPr="00581461" w:rsidRDefault="00354E4F" w:rsidP="00432224">
            <w:pPr>
              <w:ind w:firstLineChars="200" w:firstLine="560"/>
              <w:rPr>
                <w:rFonts w:asciiTheme="minorEastAsia" w:hAnsiTheme="minorEastAsia"/>
                <w:sz w:val="28"/>
                <w:szCs w:val="28"/>
              </w:rPr>
            </w:pPr>
          </w:p>
          <w:p w:rsidR="00B37A77" w:rsidRDefault="00B37A77" w:rsidP="00432224">
            <w:pPr>
              <w:ind w:firstLineChars="200" w:firstLine="560"/>
              <w:rPr>
                <w:rFonts w:asciiTheme="minorEastAsia" w:hAnsiTheme="minorEastAsia"/>
                <w:sz w:val="28"/>
                <w:szCs w:val="28"/>
              </w:rPr>
            </w:pPr>
          </w:p>
          <w:p w:rsidR="00B37A77" w:rsidRPr="00C6172A" w:rsidRDefault="00B37A77" w:rsidP="00B37A77">
            <w:pPr>
              <w:rPr>
                <w:rFonts w:asciiTheme="minorEastAsia" w:hAnsiTheme="minorEastAsia"/>
                <w:sz w:val="28"/>
                <w:szCs w:val="28"/>
              </w:rPr>
            </w:pPr>
          </w:p>
        </w:tc>
      </w:tr>
    </w:tbl>
    <w:p w:rsidR="00B37A77" w:rsidRDefault="00B37A77" w:rsidP="00B37A77">
      <w:pPr>
        <w:rPr>
          <w:rFonts w:asciiTheme="minorEastAsia" w:hAnsiTheme="minorEastAsia"/>
          <w:bCs/>
          <w:sz w:val="28"/>
          <w:szCs w:val="28"/>
        </w:rPr>
      </w:pPr>
    </w:p>
    <w:p w:rsidR="00ED6740" w:rsidRDefault="00354E4F" w:rsidP="0074141D">
      <w:pPr>
        <w:widowControl/>
        <w:jc w:val="left"/>
        <w:sectPr w:rsidR="00ED6740">
          <w:pgSz w:w="11906" w:h="16838"/>
          <w:pgMar w:top="1440" w:right="1800" w:bottom="1440" w:left="1800" w:header="851" w:footer="992" w:gutter="0"/>
          <w:cols w:space="425"/>
          <w:docGrid w:type="lines" w:linePitch="312"/>
        </w:sectPr>
      </w:pPr>
      <w:r>
        <w:br w:type="page"/>
      </w:r>
    </w:p>
    <w:p w:rsidR="00684E8C" w:rsidRPr="00B37A77" w:rsidRDefault="00684E8C" w:rsidP="00B37A77"/>
    <w:sectPr w:rsidR="00684E8C" w:rsidRPr="00B37A77" w:rsidSect="00ED6740">
      <w:pgSz w:w="11906" w:h="16838"/>
      <w:pgMar w:top="238" w:right="249" w:bottom="238" w:left="23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27" w:rsidRDefault="00792F27" w:rsidP="00B37A77">
      <w:r>
        <w:separator/>
      </w:r>
    </w:p>
  </w:endnote>
  <w:endnote w:type="continuationSeparator" w:id="0">
    <w:p w:rsidR="00792F27" w:rsidRDefault="00792F27" w:rsidP="00B3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27" w:rsidRDefault="00792F27" w:rsidP="00B37A77">
      <w:r>
        <w:separator/>
      </w:r>
    </w:p>
  </w:footnote>
  <w:footnote w:type="continuationSeparator" w:id="0">
    <w:p w:rsidR="00792F27" w:rsidRDefault="00792F27" w:rsidP="00B37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0F47"/>
    <w:multiLevelType w:val="hybridMultilevel"/>
    <w:tmpl w:val="0CF6BE3C"/>
    <w:lvl w:ilvl="0" w:tplc="C4687E5A">
      <w:start w:val="1"/>
      <w:numFmt w:val="japaneseCounting"/>
      <w:lvlText w:val="%1、"/>
      <w:lvlJc w:val="left"/>
      <w:pPr>
        <w:ind w:left="1003" w:hanging="720"/>
      </w:pPr>
      <w:rPr>
        <w:rFonts w:hint="default"/>
      </w:rPr>
    </w:lvl>
    <w:lvl w:ilvl="1" w:tplc="84ECB33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8C5446"/>
    <w:multiLevelType w:val="hybridMultilevel"/>
    <w:tmpl w:val="28CC96B6"/>
    <w:lvl w:ilvl="0" w:tplc="1A4AF9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6C5502"/>
    <w:multiLevelType w:val="hybridMultilevel"/>
    <w:tmpl w:val="1E5E87B6"/>
    <w:lvl w:ilvl="0" w:tplc="488CB1CA">
      <w:start w:val="1"/>
      <w:numFmt w:val="decimal"/>
      <w:lvlText w:val="%1、"/>
      <w:lvlJc w:val="left"/>
      <w:pPr>
        <w:ind w:left="1723" w:hanging="720"/>
      </w:pPr>
      <w:rPr>
        <w:rFonts w:hint="default"/>
      </w:rPr>
    </w:lvl>
    <w:lvl w:ilvl="1" w:tplc="04090019" w:tentative="1">
      <w:start w:val="1"/>
      <w:numFmt w:val="lowerLetter"/>
      <w:lvlText w:val="%2)"/>
      <w:lvlJc w:val="left"/>
      <w:pPr>
        <w:ind w:left="1843" w:hanging="420"/>
      </w:pPr>
    </w:lvl>
    <w:lvl w:ilvl="2" w:tplc="0409001B" w:tentative="1">
      <w:start w:val="1"/>
      <w:numFmt w:val="lowerRoman"/>
      <w:lvlText w:val="%3."/>
      <w:lvlJc w:val="right"/>
      <w:pPr>
        <w:ind w:left="2263" w:hanging="420"/>
      </w:pPr>
    </w:lvl>
    <w:lvl w:ilvl="3" w:tplc="0409000F" w:tentative="1">
      <w:start w:val="1"/>
      <w:numFmt w:val="decimal"/>
      <w:lvlText w:val="%4."/>
      <w:lvlJc w:val="left"/>
      <w:pPr>
        <w:ind w:left="2683" w:hanging="420"/>
      </w:pPr>
    </w:lvl>
    <w:lvl w:ilvl="4" w:tplc="04090019" w:tentative="1">
      <w:start w:val="1"/>
      <w:numFmt w:val="lowerLetter"/>
      <w:lvlText w:val="%5)"/>
      <w:lvlJc w:val="left"/>
      <w:pPr>
        <w:ind w:left="3103" w:hanging="420"/>
      </w:pPr>
    </w:lvl>
    <w:lvl w:ilvl="5" w:tplc="0409001B" w:tentative="1">
      <w:start w:val="1"/>
      <w:numFmt w:val="lowerRoman"/>
      <w:lvlText w:val="%6."/>
      <w:lvlJc w:val="right"/>
      <w:pPr>
        <w:ind w:left="3523" w:hanging="420"/>
      </w:pPr>
    </w:lvl>
    <w:lvl w:ilvl="6" w:tplc="0409000F" w:tentative="1">
      <w:start w:val="1"/>
      <w:numFmt w:val="decimal"/>
      <w:lvlText w:val="%7."/>
      <w:lvlJc w:val="left"/>
      <w:pPr>
        <w:ind w:left="3943" w:hanging="420"/>
      </w:pPr>
    </w:lvl>
    <w:lvl w:ilvl="7" w:tplc="04090019" w:tentative="1">
      <w:start w:val="1"/>
      <w:numFmt w:val="lowerLetter"/>
      <w:lvlText w:val="%8)"/>
      <w:lvlJc w:val="left"/>
      <w:pPr>
        <w:ind w:left="4363" w:hanging="420"/>
      </w:pPr>
    </w:lvl>
    <w:lvl w:ilvl="8" w:tplc="0409001B" w:tentative="1">
      <w:start w:val="1"/>
      <w:numFmt w:val="lowerRoman"/>
      <w:lvlText w:val="%9."/>
      <w:lvlJc w:val="right"/>
      <w:pPr>
        <w:ind w:left="478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F8"/>
    <w:rsid w:val="00013C76"/>
    <w:rsid w:val="000158E6"/>
    <w:rsid w:val="000431F1"/>
    <w:rsid w:val="0006004E"/>
    <w:rsid w:val="00076ED5"/>
    <w:rsid w:val="00076EFB"/>
    <w:rsid w:val="00095A48"/>
    <w:rsid w:val="001247BD"/>
    <w:rsid w:val="001C2E50"/>
    <w:rsid w:val="001E0D4B"/>
    <w:rsid w:val="00210B12"/>
    <w:rsid w:val="002325D7"/>
    <w:rsid w:val="002441BF"/>
    <w:rsid w:val="00295963"/>
    <w:rsid w:val="002A01A4"/>
    <w:rsid w:val="00347B35"/>
    <w:rsid w:val="00354E4F"/>
    <w:rsid w:val="003575D1"/>
    <w:rsid w:val="0038765D"/>
    <w:rsid w:val="003A50D2"/>
    <w:rsid w:val="003C38B4"/>
    <w:rsid w:val="003C4E97"/>
    <w:rsid w:val="004124FB"/>
    <w:rsid w:val="00432224"/>
    <w:rsid w:val="004371E5"/>
    <w:rsid w:val="00451EF2"/>
    <w:rsid w:val="004613DC"/>
    <w:rsid w:val="00470F40"/>
    <w:rsid w:val="00475652"/>
    <w:rsid w:val="00486636"/>
    <w:rsid w:val="004D392B"/>
    <w:rsid w:val="005109AF"/>
    <w:rsid w:val="005128EA"/>
    <w:rsid w:val="00516A94"/>
    <w:rsid w:val="005713F5"/>
    <w:rsid w:val="00581461"/>
    <w:rsid w:val="00593D5E"/>
    <w:rsid w:val="0059678A"/>
    <w:rsid w:val="005A3940"/>
    <w:rsid w:val="005B519C"/>
    <w:rsid w:val="005E66E9"/>
    <w:rsid w:val="006746A9"/>
    <w:rsid w:val="00684E8C"/>
    <w:rsid w:val="006A3A47"/>
    <w:rsid w:val="006A6A8E"/>
    <w:rsid w:val="006C2369"/>
    <w:rsid w:val="006C735D"/>
    <w:rsid w:val="00723086"/>
    <w:rsid w:val="0074141D"/>
    <w:rsid w:val="00756F06"/>
    <w:rsid w:val="00792F27"/>
    <w:rsid w:val="007B27B4"/>
    <w:rsid w:val="008D321D"/>
    <w:rsid w:val="008F27E6"/>
    <w:rsid w:val="00937F88"/>
    <w:rsid w:val="009646F8"/>
    <w:rsid w:val="009754DD"/>
    <w:rsid w:val="009F2E18"/>
    <w:rsid w:val="00A24E56"/>
    <w:rsid w:val="00A2568A"/>
    <w:rsid w:val="00A332D7"/>
    <w:rsid w:val="00A3653A"/>
    <w:rsid w:val="00A450A6"/>
    <w:rsid w:val="00AB473A"/>
    <w:rsid w:val="00AB671D"/>
    <w:rsid w:val="00AD128C"/>
    <w:rsid w:val="00AE1542"/>
    <w:rsid w:val="00B37A77"/>
    <w:rsid w:val="00BF402C"/>
    <w:rsid w:val="00C14EC8"/>
    <w:rsid w:val="00C53F32"/>
    <w:rsid w:val="00C6453C"/>
    <w:rsid w:val="00C860A0"/>
    <w:rsid w:val="00C86D5A"/>
    <w:rsid w:val="00CB65A2"/>
    <w:rsid w:val="00D04D7A"/>
    <w:rsid w:val="00D21157"/>
    <w:rsid w:val="00D258D4"/>
    <w:rsid w:val="00D55CB3"/>
    <w:rsid w:val="00DB0AC0"/>
    <w:rsid w:val="00DE7AD2"/>
    <w:rsid w:val="00E003AA"/>
    <w:rsid w:val="00E129E7"/>
    <w:rsid w:val="00E17D6C"/>
    <w:rsid w:val="00E32516"/>
    <w:rsid w:val="00E41B44"/>
    <w:rsid w:val="00E63A0E"/>
    <w:rsid w:val="00E80294"/>
    <w:rsid w:val="00ED6740"/>
    <w:rsid w:val="00F002A9"/>
    <w:rsid w:val="00F630C5"/>
    <w:rsid w:val="00F6357A"/>
    <w:rsid w:val="00F723E8"/>
    <w:rsid w:val="00FB09AD"/>
    <w:rsid w:val="00FB14B6"/>
    <w:rsid w:val="00FB785F"/>
    <w:rsid w:val="00FD0F0C"/>
    <w:rsid w:val="00FD6A82"/>
    <w:rsid w:val="00FF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CD948-E714-46BD-8665-ED7A5604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7A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7A77"/>
    <w:rPr>
      <w:sz w:val="18"/>
      <w:szCs w:val="18"/>
    </w:rPr>
  </w:style>
  <w:style w:type="paragraph" w:styleId="a4">
    <w:name w:val="footer"/>
    <w:basedOn w:val="a"/>
    <w:link w:val="Char0"/>
    <w:uiPriority w:val="99"/>
    <w:unhideWhenUsed/>
    <w:rsid w:val="00B37A77"/>
    <w:pPr>
      <w:tabs>
        <w:tab w:val="center" w:pos="4153"/>
        <w:tab w:val="right" w:pos="8306"/>
      </w:tabs>
      <w:snapToGrid w:val="0"/>
      <w:jc w:val="left"/>
    </w:pPr>
    <w:rPr>
      <w:sz w:val="18"/>
      <w:szCs w:val="18"/>
    </w:rPr>
  </w:style>
  <w:style w:type="character" w:customStyle="1" w:styleId="Char0">
    <w:name w:val="页脚 Char"/>
    <w:basedOn w:val="a0"/>
    <w:link w:val="a4"/>
    <w:uiPriority w:val="99"/>
    <w:rsid w:val="00B37A77"/>
    <w:rPr>
      <w:sz w:val="18"/>
      <w:szCs w:val="18"/>
    </w:rPr>
  </w:style>
  <w:style w:type="table" w:styleId="a5">
    <w:name w:val="Table Grid"/>
    <w:basedOn w:val="a1"/>
    <w:uiPriority w:val="59"/>
    <w:rsid w:val="00B37A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DE7AD2"/>
    <w:pPr>
      <w:ind w:firstLineChars="200" w:firstLine="420"/>
    </w:pPr>
  </w:style>
  <w:style w:type="paragraph" w:styleId="a7">
    <w:name w:val="Body Text"/>
    <w:basedOn w:val="a"/>
    <w:link w:val="Char1"/>
    <w:uiPriority w:val="1"/>
    <w:qFormat/>
    <w:rsid w:val="00581461"/>
    <w:pPr>
      <w:autoSpaceDE w:val="0"/>
      <w:autoSpaceDN w:val="0"/>
      <w:adjustRightInd w:val="0"/>
      <w:ind w:left="120"/>
      <w:jc w:val="left"/>
    </w:pPr>
    <w:rPr>
      <w:rFonts w:ascii="仿宋" w:eastAsia="仿宋" w:hAnsi="Times New Roman" w:cs="仿宋"/>
      <w:kern w:val="0"/>
      <w:szCs w:val="21"/>
    </w:rPr>
  </w:style>
  <w:style w:type="character" w:customStyle="1" w:styleId="Char1">
    <w:name w:val="正文文本 Char"/>
    <w:basedOn w:val="a0"/>
    <w:link w:val="a7"/>
    <w:uiPriority w:val="1"/>
    <w:rsid w:val="00581461"/>
    <w:rPr>
      <w:rFonts w:ascii="仿宋" w:eastAsia="仿宋" w:hAnsi="Times New Roman" w:cs="仿宋"/>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wujingjing</dc:creator>
  <cp:keywords/>
  <dc:description/>
  <cp:lastModifiedBy>wujingjing</cp:lastModifiedBy>
  <cp:revision>53</cp:revision>
  <dcterms:created xsi:type="dcterms:W3CDTF">2017-09-07T03:44:00Z</dcterms:created>
  <dcterms:modified xsi:type="dcterms:W3CDTF">2017-09-15T02:52:00Z</dcterms:modified>
</cp:coreProperties>
</file>