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33" w:rsidRPr="009A6D7E" w:rsidRDefault="00557E33" w:rsidP="00557E33">
      <w:pPr>
        <w:adjustRightInd w:val="0"/>
        <w:snapToGrid w:val="0"/>
        <w:spacing w:line="300" w:lineRule="auto"/>
        <w:ind w:leftChars="-103" w:left="-216"/>
        <w:jc w:val="center"/>
        <w:rPr>
          <w:rFonts w:ascii="宋体" w:hAnsi="宋体"/>
          <w:b/>
          <w:sz w:val="32"/>
          <w:szCs w:val="32"/>
        </w:rPr>
      </w:pPr>
      <w:r w:rsidRPr="009A6D7E">
        <w:rPr>
          <w:rFonts w:ascii="宋体" w:hAnsi="宋体" w:hint="eastAsia"/>
          <w:b/>
          <w:sz w:val="32"/>
          <w:szCs w:val="32"/>
        </w:rPr>
        <w:t>福建天马科技集团股份有限公司</w:t>
      </w:r>
    </w:p>
    <w:p w:rsidR="00557E33" w:rsidRPr="009A6D7E" w:rsidRDefault="00557E33" w:rsidP="00557E33">
      <w:pPr>
        <w:adjustRightInd w:val="0"/>
        <w:snapToGrid w:val="0"/>
        <w:spacing w:line="300" w:lineRule="auto"/>
        <w:ind w:leftChars="-103" w:left="-216"/>
        <w:jc w:val="center"/>
        <w:rPr>
          <w:rFonts w:ascii="宋体" w:cs="宋体"/>
          <w:b/>
          <w:bCs/>
          <w:kern w:val="0"/>
          <w:sz w:val="32"/>
          <w:szCs w:val="32"/>
        </w:rPr>
      </w:pPr>
      <w:r w:rsidRPr="009A6D7E">
        <w:rPr>
          <w:rFonts w:ascii="宋体" w:cs="宋体" w:hint="eastAsia"/>
          <w:b/>
          <w:bCs/>
          <w:kern w:val="0"/>
          <w:sz w:val="32"/>
          <w:szCs w:val="32"/>
        </w:rPr>
        <w:t>接待调研、沟通、采访等活动</w:t>
      </w:r>
      <w:r w:rsidR="000537DE">
        <w:rPr>
          <w:rFonts w:ascii="宋体" w:cs="宋体" w:hint="eastAsia"/>
          <w:b/>
          <w:bCs/>
          <w:kern w:val="0"/>
          <w:sz w:val="32"/>
          <w:szCs w:val="32"/>
        </w:rPr>
        <w:t>记录</w:t>
      </w:r>
      <w:r w:rsidRPr="009A6D7E">
        <w:rPr>
          <w:rFonts w:ascii="宋体" w:cs="宋体" w:hint="eastAsia"/>
          <w:b/>
          <w:bCs/>
          <w:kern w:val="0"/>
          <w:sz w:val="32"/>
          <w:szCs w:val="32"/>
        </w:rPr>
        <w:t>表</w:t>
      </w:r>
    </w:p>
    <w:p w:rsidR="00557E33" w:rsidRPr="00A71E1F" w:rsidRDefault="00557E33" w:rsidP="00557E33">
      <w:pPr>
        <w:adjustRightInd w:val="0"/>
        <w:snapToGrid w:val="0"/>
        <w:spacing w:line="300" w:lineRule="auto"/>
        <w:jc w:val="center"/>
        <w:rPr>
          <w:rFonts w:ascii="宋体" w:hAnsi="宋体" w:cs="宋体"/>
          <w:b/>
          <w:sz w:val="24"/>
        </w:rPr>
      </w:pPr>
    </w:p>
    <w:tbl>
      <w:tblPr>
        <w:tblStyle w:val="a5"/>
        <w:tblW w:w="9360" w:type="dxa"/>
        <w:jc w:val="center"/>
        <w:tblInd w:w="-432" w:type="dxa"/>
        <w:tblLook w:val="01E0"/>
      </w:tblPr>
      <w:tblGrid>
        <w:gridCol w:w="1530"/>
        <w:gridCol w:w="2520"/>
        <w:gridCol w:w="1260"/>
        <w:gridCol w:w="4050"/>
      </w:tblGrid>
      <w:tr w:rsidR="00557E33" w:rsidTr="004F0D58">
        <w:trPr>
          <w:trHeight w:val="589"/>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接待时间</w:t>
            </w:r>
          </w:p>
        </w:tc>
        <w:tc>
          <w:tcPr>
            <w:tcW w:w="2520" w:type="dxa"/>
            <w:vAlign w:val="center"/>
          </w:tcPr>
          <w:p w:rsidR="00557E33" w:rsidRPr="0028477D" w:rsidRDefault="009248E0" w:rsidP="0023233C">
            <w:pPr>
              <w:jc w:val="center"/>
              <w:rPr>
                <w:sz w:val="24"/>
              </w:rPr>
            </w:pPr>
            <w:r w:rsidRPr="0028477D">
              <w:rPr>
                <w:sz w:val="24"/>
              </w:rPr>
              <w:t>2017</w:t>
            </w:r>
            <w:r w:rsidRPr="0028477D">
              <w:rPr>
                <w:rFonts w:hAnsi="宋体"/>
                <w:sz w:val="24"/>
              </w:rPr>
              <w:t>年</w:t>
            </w:r>
            <w:r w:rsidR="0023233C">
              <w:rPr>
                <w:rFonts w:hint="eastAsia"/>
                <w:sz w:val="24"/>
              </w:rPr>
              <w:t>9</w:t>
            </w:r>
            <w:r w:rsidRPr="0028477D">
              <w:rPr>
                <w:rFonts w:hAnsi="宋体"/>
                <w:sz w:val="24"/>
              </w:rPr>
              <w:t>月</w:t>
            </w:r>
            <w:r w:rsidR="0023233C">
              <w:rPr>
                <w:rFonts w:hAnsi="宋体" w:hint="eastAsia"/>
                <w:sz w:val="24"/>
              </w:rPr>
              <w:t>15</w:t>
            </w:r>
            <w:r w:rsidRPr="0028477D">
              <w:rPr>
                <w:rFonts w:hAnsi="宋体"/>
                <w:sz w:val="24"/>
              </w:rPr>
              <w:t>日</w:t>
            </w:r>
            <w:r w:rsidR="0023233C">
              <w:rPr>
                <w:rFonts w:hAnsi="宋体" w:hint="eastAsia"/>
                <w:sz w:val="24"/>
              </w:rPr>
              <w:t>上</w:t>
            </w:r>
            <w:r w:rsidRPr="0028477D">
              <w:rPr>
                <w:rFonts w:hAnsi="宋体"/>
                <w:sz w:val="24"/>
              </w:rPr>
              <w:t>午</w:t>
            </w:r>
            <w:r w:rsidRPr="0028477D">
              <w:rPr>
                <w:sz w:val="24"/>
              </w:rPr>
              <w:t>1</w:t>
            </w:r>
            <w:r w:rsidR="0023233C">
              <w:rPr>
                <w:rFonts w:hint="eastAsia"/>
                <w:sz w:val="24"/>
              </w:rPr>
              <w:t>0</w:t>
            </w:r>
            <w:r w:rsidRPr="0028477D">
              <w:rPr>
                <w:sz w:val="24"/>
              </w:rPr>
              <w:t>:</w:t>
            </w:r>
            <w:r w:rsidR="0023233C">
              <w:rPr>
                <w:rFonts w:hint="eastAsia"/>
                <w:sz w:val="24"/>
              </w:rPr>
              <w:t>2</w:t>
            </w:r>
            <w:r w:rsidRPr="0028477D">
              <w:rPr>
                <w:sz w:val="24"/>
              </w:rPr>
              <w:t>0</w:t>
            </w:r>
            <w:r w:rsidRPr="0028477D">
              <w:rPr>
                <w:rFonts w:hAnsi="宋体"/>
                <w:sz w:val="24"/>
              </w:rPr>
              <w:t>至</w:t>
            </w:r>
            <w:r w:rsidRPr="0028477D">
              <w:rPr>
                <w:sz w:val="24"/>
              </w:rPr>
              <w:t>1</w:t>
            </w:r>
            <w:r w:rsidR="0023233C">
              <w:rPr>
                <w:rFonts w:hint="eastAsia"/>
                <w:sz w:val="24"/>
              </w:rPr>
              <w:t>1</w:t>
            </w:r>
            <w:r w:rsidRPr="0028477D">
              <w:rPr>
                <w:sz w:val="24"/>
              </w:rPr>
              <w:t>:</w:t>
            </w:r>
            <w:r w:rsidR="0023233C">
              <w:rPr>
                <w:rFonts w:hint="eastAsia"/>
                <w:sz w:val="24"/>
              </w:rPr>
              <w:t>5</w:t>
            </w:r>
            <w:r w:rsidRPr="0028477D">
              <w:rPr>
                <w:sz w:val="24"/>
              </w:rPr>
              <w:t>0</w:t>
            </w:r>
          </w:p>
        </w:tc>
        <w:tc>
          <w:tcPr>
            <w:tcW w:w="1260" w:type="dxa"/>
            <w:vAlign w:val="center"/>
          </w:tcPr>
          <w:p w:rsidR="00557E33" w:rsidRPr="0028477D" w:rsidRDefault="00557E33" w:rsidP="004F0D58">
            <w:pPr>
              <w:jc w:val="center"/>
              <w:rPr>
                <w:rFonts w:ascii="宋体" w:hAnsi="宋体"/>
                <w:b/>
                <w:sz w:val="24"/>
              </w:rPr>
            </w:pPr>
            <w:r w:rsidRPr="0028477D">
              <w:rPr>
                <w:rFonts w:ascii="宋体" w:hAnsi="宋体" w:hint="eastAsia"/>
                <w:b/>
                <w:sz w:val="24"/>
              </w:rPr>
              <w:t>接待地点</w:t>
            </w:r>
          </w:p>
        </w:tc>
        <w:tc>
          <w:tcPr>
            <w:tcW w:w="4050" w:type="dxa"/>
            <w:vAlign w:val="center"/>
          </w:tcPr>
          <w:p w:rsidR="00557E33" w:rsidRPr="0028477D" w:rsidRDefault="00484398" w:rsidP="007F54BB">
            <w:pPr>
              <w:jc w:val="center"/>
              <w:rPr>
                <w:rFonts w:ascii="宋体" w:hAnsi="宋体"/>
                <w:sz w:val="24"/>
              </w:rPr>
            </w:pPr>
            <w:r>
              <w:rPr>
                <w:rFonts w:ascii="宋体" w:hAnsi="宋体" w:hint="eastAsia"/>
                <w:sz w:val="24"/>
              </w:rPr>
              <w:t>公司三</w:t>
            </w:r>
            <w:proofErr w:type="gramStart"/>
            <w:r>
              <w:rPr>
                <w:rFonts w:ascii="宋体" w:hAnsi="宋体" w:hint="eastAsia"/>
                <w:sz w:val="24"/>
              </w:rPr>
              <w:t>楼</w:t>
            </w:r>
            <w:r w:rsidR="007F54BB">
              <w:rPr>
                <w:rFonts w:ascii="宋体" w:hAnsi="宋体" w:hint="eastAsia"/>
                <w:sz w:val="24"/>
              </w:rPr>
              <w:t>证券</w:t>
            </w:r>
            <w:proofErr w:type="gramEnd"/>
            <w:r w:rsidR="007F54BB">
              <w:rPr>
                <w:rFonts w:ascii="宋体" w:hAnsi="宋体" w:hint="eastAsia"/>
                <w:sz w:val="24"/>
              </w:rPr>
              <w:t>部</w:t>
            </w:r>
            <w:r>
              <w:rPr>
                <w:rFonts w:ascii="宋体" w:hAnsi="宋体" w:hint="eastAsia"/>
                <w:sz w:val="24"/>
              </w:rPr>
              <w:t xml:space="preserve"> </w:t>
            </w:r>
          </w:p>
        </w:tc>
      </w:tr>
      <w:tr w:rsidR="00557E33" w:rsidTr="004F0D58">
        <w:trPr>
          <w:trHeight w:val="1005"/>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公司接待人</w:t>
            </w:r>
          </w:p>
        </w:tc>
        <w:tc>
          <w:tcPr>
            <w:tcW w:w="7830" w:type="dxa"/>
            <w:gridSpan w:val="3"/>
            <w:vAlign w:val="center"/>
          </w:tcPr>
          <w:p w:rsidR="00557E33" w:rsidRPr="0028477D" w:rsidRDefault="00484398" w:rsidP="00484398">
            <w:pPr>
              <w:jc w:val="left"/>
              <w:rPr>
                <w:rFonts w:ascii="宋体" w:hAnsi="宋体"/>
                <w:sz w:val="24"/>
              </w:rPr>
            </w:pPr>
            <w:r>
              <w:rPr>
                <w:rFonts w:ascii="宋体" w:hAnsi="宋体" w:hint="eastAsia"/>
                <w:sz w:val="24"/>
              </w:rPr>
              <w:t>副总经理、</w:t>
            </w:r>
            <w:r w:rsidR="009248E0" w:rsidRPr="0028477D">
              <w:rPr>
                <w:rFonts w:ascii="宋体" w:hAnsi="宋体" w:hint="eastAsia"/>
                <w:sz w:val="24"/>
              </w:rPr>
              <w:t>董</w:t>
            </w:r>
            <w:r>
              <w:rPr>
                <w:rFonts w:ascii="宋体" w:hAnsi="宋体" w:hint="eastAsia"/>
                <w:sz w:val="24"/>
              </w:rPr>
              <w:t>事会秘书</w:t>
            </w:r>
            <w:r w:rsidR="009248E0" w:rsidRPr="0028477D">
              <w:rPr>
                <w:rFonts w:ascii="宋体" w:hAnsi="宋体" w:hint="eastAsia"/>
                <w:sz w:val="24"/>
              </w:rPr>
              <w:t>陈延嗣</w:t>
            </w:r>
            <w:r>
              <w:rPr>
                <w:rFonts w:ascii="宋体" w:hAnsi="宋体" w:hint="eastAsia"/>
                <w:sz w:val="24"/>
              </w:rPr>
              <w:t>；证券事务代表戴文增</w:t>
            </w:r>
            <w:r w:rsidR="009248E0" w:rsidRPr="0028477D">
              <w:rPr>
                <w:rFonts w:ascii="宋体" w:hAnsi="宋体" w:hint="eastAsia"/>
                <w:sz w:val="24"/>
              </w:rPr>
              <w:t>。</w:t>
            </w:r>
          </w:p>
        </w:tc>
      </w:tr>
      <w:tr w:rsidR="00557E33" w:rsidTr="004F0D58">
        <w:trPr>
          <w:trHeight w:val="1005"/>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接待对象</w:t>
            </w:r>
          </w:p>
        </w:tc>
        <w:tc>
          <w:tcPr>
            <w:tcW w:w="7830" w:type="dxa"/>
            <w:gridSpan w:val="3"/>
            <w:vAlign w:val="center"/>
          </w:tcPr>
          <w:p w:rsidR="00557E33" w:rsidRPr="0028477D" w:rsidRDefault="006872CA" w:rsidP="002D1BBF">
            <w:pPr>
              <w:jc w:val="left"/>
              <w:rPr>
                <w:rFonts w:ascii="宋体" w:hAnsi="宋体"/>
                <w:sz w:val="24"/>
              </w:rPr>
            </w:pPr>
            <w:r>
              <w:rPr>
                <w:rFonts w:ascii="宋体" w:hAnsi="宋体" w:hint="eastAsia"/>
                <w:sz w:val="24"/>
              </w:rPr>
              <w:t>国泰君安证券股份有限公司农林牧渔首席分析师：钟凯锋</w:t>
            </w:r>
            <w:r w:rsidR="007505C1">
              <w:rPr>
                <w:rFonts w:ascii="宋体" w:hAnsi="宋体" w:hint="eastAsia"/>
                <w:sz w:val="24"/>
              </w:rPr>
              <w:t>。</w:t>
            </w:r>
          </w:p>
        </w:tc>
      </w:tr>
      <w:tr w:rsidR="00557E33" w:rsidTr="004F0D58">
        <w:trPr>
          <w:trHeight w:val="2810"/>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谈论的主要内容及提供的资料</w:t>
            </w:r>
          </w:p>
        </w:tc>
        <w:tc>
          <w:tcPr>
            <w:tcW w:w="7830" w:type="dxa"/>
            <w:gridSpan w:val="3"/>
            <w:vAlign w:val="center"/>
          </w:tcPr>
          <w:p w:rsidR="0021321C" w:rsidRDefault="009248E0" w:rsidP="00CD7293">
            <w:pPr>
              <w:adjustRightInd w:val="0"/>
              <w:snapToGrid w:val="0"/>
              <w:spacing w:line="360" w:lineRule="auto"/>
              <w:ind w:firstLineChars="200" w:firstLine="480"/>
              <w:jc w:val="left"/>
              <w:rPr>
                <w:rFonts w:eastAsiaTheme="minorEastAsia" w:hAnsiTheme="minorEastAsia" w:hint="eastAsia"/>
                <w:sz w:val="24"/>
              </w:rPr>
            </w:pPr>
            <w:r w:rsidRPr="001F0C60">
              <w:rPr>
                <w:rFonts w:eastAsiaTheme="minorEastAsia"/>
                <w:sz w:val="24"/>
              </w:rPr>
              <w:t>1</w:t>
            </w:r>
            <w:r w:rsidRPr="001F0C60">
              <w:rPr>
                <w:rFonts w:eastAsiaTheme="minorEastAsia" w:hAnsiTheme="minorEastAsia"/>
                <w:sz w:val="24"/>
              </w:rPr>
              <w:t>、</w:t>
            </w:r>
            <w:r w:rsidR="00AB726F">
              <w:rPr>
                <w:rFonts w:eastAsiaTheme="minorEastAsia" w:hAnsiTheme="minorEastAsia" w:hint="eastAsia"/>
                <w:sz w:val="24"/>
              </w:rPr>
              <w:t>环保核查对公司影响问题：</w:t>
            </w:r>
            <w:r w:rsidR="00AB726F" w:rsidRPr="00AB726F">
              <w:rPr>
                <w:rFonts w:eastAsiaTheme="minorEastAsia" w:hAnsiTheme="minorEastAsia" w:hint="eastAsia"/>
                <w:sz w:val="24"/>
              </w:rPr>
              <w:t>公司作为特种水产饲料龙头企业，在饲料配方、生产工艺、产品生产全过程，始终贯彻“安全、高效、环保”的产品理念，在废气、废水、噪音和固体废物排放方面，均符合国家环境保护的有关规定。环保措施不到位的</w:t>
            </w:r>
            <w:r w:rsidR="00AB726F">
              <w:rPr>
                <w:rFonts w:eastAsiaTheme="minorEastAsia" w:hAnsiTheme="minorEastAsia" w:hint="eastAsia"/>
                <w:sz w:val="24"/>
              </w:rPr>
              <w:t>中小饲料企业的关停相应会带来饲料供应的减少，应有利于行业龙头企业产能的释放和行业的整合</w:t>
            </w:r>
            <w:r w:rsidR="00721AEA" w:rsidRPr="00C92853">
              <w:rPr>
                <w:rFonts w:eastAsiaTheme="minorEastAsia" w:hAnsiTheme="minorEastAsia"/>
                <w:sz w:val="24"/>
              </w:rPr>
              <w:t>。</w:t>
            </w:r>
          </w:p>
          <w:p w:rsidR="00A96AB2" w:rsidRPr="00A96AB2" w:rsidRDefault="00A96AB2" w:rsidP="00CD7293">
            <w:pPr>
              <w:adjustRightInd w:val="0"/>
              <w:snapToGrid w:val="0"/>
              <w:spacing w:line="360" w:lineRule="auto"/>
              <w:ind w:firstLineChars="200" w:firstLine="480"/>
              <w:jc w:val="left"/>
              <w:rPr>
                <w:rFonts w:eastAsiaTheme="minorEastAsia"/>
                <w:sz w:val="24"/>
              </w:rPr>
            </w:pPr>
            <w:r w:rsidRPr="00A96AB2">
              <w:rPr>
                <w:rFonts w:eastAsiaTheme="minorEastAsia" w:hint="eastAsia"/>
                <w:sz w:val="24"/>
              </w:rPr>
              <w:t>2</w:t>
            </w:r>
            <w:r w:rsidRPr="00A96AB2">
              <w:rPr>
                <w:rFonts w:eastAsiaTheme="minorEastAsia" w:hint="eastAsia"/>
                <w:sz w:val="24"/>
              </w:rPr>
              <w:t>、</w:t>
            </w:r>
            <w:r w:rsidRPr="00A96AB2">
              <w:rPr>
                <w:rFonts w:eastAsiaTheme="minorEastAsia" w:hint="eastAsia"/>
                <w:sz w:val="24"/>
              </w:rPr>
              <w:t>行业</w:t>
            </w:r>
            <w:r w:rsidRPr="00A96AB2">
              <w:rPr>
                <w:rFonts w:eastAsiaTheme="minorEastAsia" w:hint="eastAsia"/>
                <w:sz w:val="24"/>
              </w:rPr>
              <w:t>发展</w:t>
            </w:r>
            <w:r w:rsidRPr="00A96AB2">
              <w:rPr>
                <w:rFonts w:eastAsiaTheme="minorEastAsia" w:hint="eastAsia"/>
                <w:sz w:val="24"/>
              </w:rPr>
              <w:t>空间</w:t>
            </w:r>
            <w:r w:rsidRPr="00A96AB2">
              <w:rPr>
                <w:rFonts w:eastAsiaTheme="minorEastAsia" w:hint="eastAsia"/>
                <w:sz w:val="24"/>
              </w:rPr>
              <w:t>问题：</w:t>
            </w:r>
            <w:r w:rsidRPr="00A96AB2">
              <w:rPr>
                <w:rFonts w:eastAsiaTheme="minorEastAsia" w:hint="eastAsia"/>
                <w:sz w:val="24"/>
              </w:rPr>
              <w:t>随着全球的海洋捕捞</w:t>
            </w:r>
            <w:proofErr w:type="gramStart"/>
            <w:r w:rsidRPr="00A96AB2">
              <w:rPr>
                <w:rFonts w:eastAsiaTheme="minorEastAsia" w:hint="eastAsia"/>
                <w:sz w:val="24"/>
              </w:rPr>
              <w:t>量因为</w:t>
            </w:r>
            <w:proofErr w:type="gramEnd"/>
            <w:r w:rsidRPr="00A96AB2">
              <w:rPr>
                <w:rFonts w:eastAsiaTheme="minorEastAsia" w:hint="eastAsia"/>
                <w:sz w:val="24"/>
              </w:rPr>
              <w:t>气候变化等因素影响，导致全球海洋生物捕捞量在下降，人类所需的鱼类蛋白必须要靠养殖来支撑</w:t>
            </w:r>
            <w:r>
              <w:rPr>
                <w:rFonts w:eastAsiaTheme="minorEastAsia" w:hint="eastAsia"/>
                <w:sz w:val="24"/>
              </w:rPr>
              <w:t>；叠加消费升级、养殖模式工厂化即养殖模式升级以及特种水产饲料渗透率仍有广阔空间</w:t>
            </w:r>
            <w:r w:rsidRPr="00A96AB2">
              <w:rPr>
                <w:rFonts w:eastAsiaTheme="minorEastAsia" w:hint="eastAsia"/>
                <w:sz w:val="24"/>
              </w:rPr>
              <w:t>，</w:t>
            </w:r>
            <w:r w:rsidRPr="00A96AB2">
              <w:rPr>
                <w:rFonts w:eastAsiaTheme="minorEastAsia" w:hint="eastAsia"/>
                <w:sz w:val="24"/>
              </w:rPr>
              <w:t>行业未来上升空间有千万吨的级别是必然的。</w:t>
            </w:r>
          </w:p>
          <w:p w:rsidR="00794412" w:rsidRPr="00F374E9" w:rsidRDefault="00A96AB2" w:rsidP="00CD7293">
            <w:pPr>
              <w:widowControl/>
              <w:adjustRightInd w:val="0"/>
              <w:snapToGrid w:val="0"/>
              <w:spacing w:line="360" w:lineRule="auto"/>
              <w:ind w:firstLineChars="200" w:firstLine="480"/>
              <w:jc w:val="left"/>
              <w:rPr>
                <w:rFonts w:eastAsiaTheme="minorEastAsia"/>
                <w:sz w:val="24"/>
              </w:rPr>
            </w:pPr>
            <w:r w:rsidRPr="00794412">
              <w:rPr>
                <w:rFonts w:hint="eastAsia"/>
                <w:sz w:val="24"/>
              </w:rPr>
              <w:t>3</w:t>
            </w:r>
            <w:r w:rsidRPr="00794412">
              <w:rPr>
                <w:rFonts w:hint="eastAsia"/>
                <w:sz w:val="24"/>
              </w:rPr>
              <w:t>、</w:t>
            </w:r>
            <w:r w:rsidR="00794412" w:rsidRPr="00794412">
              <w:rPr>
                <w:rFonts w:hint="eastAsia"/>
                <w:sz w:val="24"/>
              </w:rPr>
              <w:t>公司技术研发情况：</w:t>
            </w:r>
            <w:r w:rsidR="00794412">
              <w:rPr>
                <w:rFonts w:hint="eastAsia"/>
                <w:sz w:val="24"/>
              </w:rPr>
              <w:t>公司奉行</w:t>
            </w:r>
            <w:r w:rsidR="00794412" w:rsidRPr="00794412">
              <w:rPr>
                <w:rFonts w:hint="eastAsia"/>
                <w:sz w:val="24"/>
              </w:rPr>
              <w:t>“科技兴企、科技兴业”的科技战略和品牌战略，</w:t>
            </w:r>
            <w:r w:rsidR="00794412" w:rsidRPr="00932B8D">
              <w:rPr>
                <w:rFonts w:hint="eastAsia"/>
                <w:sz w:val="24"/>
              </w:rPr>
              <w:t>在</w:t>
            </w:r>
            <w:r w:rsidR="00794412" w:rsidRPr="00794412">
              <w:rPr>
                <w:rFonts w:asciiTheme="minorEastAsia" w:eastAsiaTheme="minorEastAsia" w:hAnsiTheme="minorEastAsia"/>
                <w:sz w:val="24"/>
              </w:rPr>
              <w:t>“</w:t>
            </w:r>
            <w:r w:rsidR="00794412" w:rsidRPr="00794412">
              <w:rPr>
                <w:rFonts w:asciiTheme="minorEastAsia" w:eastAsiaTheme="minorEastAsia" w:hAnsiTheme="minorEastAsia" w:hint="eastAsia"/>
                <w:sz w:val="24"/>
              </w:rPr>
              <w:t>人无我有，人有我精</w:t>
            </w:r>
            <w:r w:rsidR="00794412" w:rsidRPr="00794412">
              <w:rPr>
                <w:rFonts w:asciiTheme="minorEastAsia" w:eastAsiaTheme="minorEastAsia" w:hAnsiTheme="minorEastAsia"/>
                <w:sz w:val="24"/>
              </w:rPr>
              <w:t>”</w:t>
            </w:r>
            <w:r w:rsidR="00794412" w:rsidRPr="00794412">
              <w:rPr>
                <w:rFonts w:asciiTheme="minorEastAsia" w:eastAsiaTheme="minorEastAsia" w:hAnsiTheme="minorEastAsia" w:hint="eastAsia"/>
                <w:sz w:val="24"/>
              </w:rPr>
              <w:t>的产品开发思路指导下，</w:t>
            </w:r>
            <w:r w:rsidR="00794412" w:rsidRPr="00794412">
              <w:rPr>
                <w:rFonts w:asciiTheme="minorEastAsia" w:eastAsiaTheme="minorEastAsia" w:hAnsiTheme="minorEastAsia"/>
                <w:sz w:val="24"/>
              </w:rPr>
              <w:t>“</w:t>
            </w:r>
            <w:r w:rsidR="00794412" w:rsidRPr="00794412">
              <w:rPr>
                <w:rFonts w:asciiTheme="minorEastAsia" w:eastAsiaTheme="minorEastAsia" w:hAnsiTheme="minorEastAsia" w:hint="eastAsia"/>
                <w:sz w:val="24"/>
              </w:rPr>
              <w:t>生产一代、储备一代、研发一代</w:t>
            </w:r>
            <w:r w:rsidR="00794412" w:rsidRPr="00794412">
              <w:rPr>
                <w:rFonts w:asciiTheme="minorEastAsia" w:eastAsiaTheme="minorEastAsia" w:hAnsiTheme="minorEastAsia"/>
                <w:sz w:val="24"/>
              </w:rPr>
              <w:t>”</w:t>
            </w:r>
            <w:r w:rsidR="00794412" w:rsidRPr="00794412">
              <w:rPr>
                <w:rFonts w:asciiTheme="minorEastAsia" w:eastAsiaTheme="minorEastAsia" w:hAnsiTheme="minorEastAsia" w:hint="eastAsia"/>
                <w:sz w:val="24"/>
              </w:rPr>
              <w:t>，</w:t>
            </w:r>
            <w:r w:rsidR="001B23B5">
              <w:rPr>
                <w:rFonts w:hint="eastAsia"/>
                <w:sz w:val="24"/>
              </w:rPr>
              <w:t xml:space="preserve"> </w:t>
            </w:r>
            <w:r w:rsidR="001B23B5">
              <w:rPr>
                <w:rFonts w:hint="eastAsia"/>
                <w:sz w:val="24"/>
              </w:rPr>
              <w:t>形成了公司特有的知识产权和核心技术，</w:t>
            </w:r>
            <w:r w:rsidR="001B23B5" w:rsidRPr="00932B8D">
              <w:rPr>
                <w:rFonts w:hint="eastAsia"/>
                <w:sz w:val="24"/>
              </w:rPr>
              <w:t>公</w:t>
            </w:r>
            <w:r w:rsidR="001B23B5" w:rsidRPr="00F374E9">
              <w:rPr>
                <w:rFonts w:eastAsiaTheme="minorEastAsia" w:hint="eastAsia"/>
                <w:sz w:val="24"/>
              </w:rPr>
              <w:t>司已获得授权发明专利</w:t>
            </w:r>
            <w:r w:rsidR="001B23B5" w:rsidRPr="00F374E9">
              <w:rPr>
                <w:rFonts w:eastAsiaTheme="minorEastAsia" w:hint="eastAsia"/>
                <w:sz w:val="24"/>
              </w:rPr>
              <w:t>40</w:t>
            </w:r>
            <w:r w:rsidR="001B23B5" w:rsidRPr="00F374E9">
              <w:rPr>
                <w:rFonts w:eastAsiaTheme="minorEastAsia" w:hint="eastAsia"/>
                <w:sz w:val="24"/>
              </w:rPr>
              <w:t>项。</w:t>
            </w:r>
            <w:r w:rsidR="00F374E9" w:rsidRPr="00F374E9">
              <w:rPr>
                <w:rFonts w:eastAsiaTheme="minorEastAsia" w:hint="eastAsia"/>
                <w:sz w:val="24"/>
              </w:rPr>
              <w:t>公司</w:t>
            </w:r>
            <w:r w:rsidR="00F374E9" w:rsidRPr="00F374E9">
              <w:rPr>
                <w:rFonts w:eastAsiaTheme="minorEastAsia" w:hint="eastAsia"/>
                <w:sz w:val="24"/>
              </w:rPr>
              <w:t>针对每一个主要特种水产养殖品种的鱼类组建研发团队做细分的研究，</w:t>
            </w:r>
            <w:r w:rsidR="001B23B5" w:rsidRPr="00F374E9">
              <w:rPr>
                <w:rFonts w:eastAsiaTheme="minorEastAsia" w:hint="eastAsia"/>
                <w:sz w:val="24"/>
              </w:rPr>
              <w:t>目前，相关特种水产饲料</w:t>
            </w:r>
            <w:r w:rsidR="00367913" w:rsidRPr="00F374E9">
              <w:rPr>
                <w:rFonts w:eastAsiaTheme="minorEastAsia" w:hint="eastAsia"/>
                <w:sz w:val="24"/>
              </w:rPr>
              <w:t>新</w:t>
            </w:r>
            <w:r w:rsidR="001B23B5" w:rsidRPr="00F374E9">
              <w:rPr>
                <w:rFonts w:eastAsiaTheme="minorEastAsia" w:hint="eastAsia"/>
                <w:sz w:val="24"/>
              </w:rPr>
              <w:t>产品</w:t>
            </w:r>
            <w:r w:rsidR="00367913" w:rsidRPr="00F374E9">
              <w:rPr>
                <w:rFonts w:eastAsiaTheme="minorEastAsia" w:hint="eastAsia"/>
                <w:sz w:val="24"/>
              </w:rPr>
              <w:t>研究</w:t>
            </w:r>
            <w:r w:rsidR="001B23B5" w:rsidRPr="00F374E9">
              <w:rPr>
                <w:rFonts w:eastAsiaTheme="minorEastAsia" w:hint="eastAsia"/>
                <w:sz w:val="24"/>
              </w:rPr>
              <w:t>已有相当的技术积累，成熟时将逐步推向市场</w:t>
            </w:r>
            <w:r w:rsidR="00794412" w:rsidRPr="00F374E9">
              <w:rPr>
                <w:rFonts w:eastAsiaTheme="minorEastAsia" w:hint="eastAsia"/>
                <w:sz w:val="24"/>
              </w:rPr>
              <w:t>。</w:t>
            </w:r>
          </w:p>
          <w:p w:rsidR="006F5A4E" w:rsidRPr="00932B8D" w:rsidRDefault="00CA2EB8" w:rsidP="00CD7293">
            <w:pPr>
              <w:widowControl/>
              <w:adjustRightInd w:val="0"/>
              <w:snapToGrid w:val="0"/>
              <w:spacing w:line="360" w:lineRule="auto"/>
              <w:ind w:firstLineChars="200" w:firstLine="480"/>
              <w:jc w:val="left"/>
              <w:rPr>
                <w:sz w:val="24"/>
              </w:rPr>
            </w:pPr>
            <w:r>
              <w:rPr>
                <w:rFonts w:eastAsiaTheme="minorEastAsia" w:hint="eastAsia"/>
                <w:sz w:val="24"/>
              </w:rPr>
              <w:t>4</w:t>
            </w:r>
            <w:r>
              <w:rPr>
                <w:rFonts w:eastAsiaTheme="minorEastAsia" w:hint="eastAsia"/>
                <w:sz w:val="24"/>
              </w:rPr>
              <w:t>、</w:t>
            </w:r>
            <w:r w:rsidR="006F5A4E" w:rsidRPr="00932B8D">
              <w:rPr>
                <w:sz w:val="24"/>
              </w:rPr>
              <w:t>公司鳗鲡饲料提升</w:t>
            </w:r>
            <w:r w:rsidR="006F5A4E">
              <w:rPr>
                <w:rFonts w:hint="eastAsia"/>
                <w:sz w:val="24"/>
              </w:rPr>
              <w:t>空间问题</w:t>
            </w:r>
            <w:r w:rsidR="006F5A4E" w:rsidRPr="00932B8D">
              <w:rPr>
                <w:sz w:val="24"/>
              </w:rPr>
              <w:t>：</w:t>
            </w:r>
            <w:r w:rsidR="00AB22FF" w:rsidRPr="00DB6B4B">
              <w:rPr>
                <w:rFonts w:hAnsi="宋体"/>
                <w:color w:val="393939"/>
                <w:sz w:val="24"/>
              </w:rPr>
              <w:t>公司鳗鱼饲料积累了</w:t>
            </w:r>
            <w:r w:rsidR="00AB22FF" w:rsidRPr="00DB6B4B">
              <w:rPr>
                <w:color w:val="393939"/>
                <w:sz w:val="24"/>
              </w:rPr>
              <w:t>20</w:t>
            </w:r>
            <w:r w:rsidR="00AB22FF" w:rsidRPr="00DB6B4B">
              <w:rPr>
                <w:rFonts w:hAnsi="宋体"/>
                <w:color w:val="393939"/>
                <w:sz w:val="24"/>
              </w:rPr>
              <w:t>多年的经验，技术领先，是鳗鱼料国家标准的制定者，</w:t>
            </w:r>
            <w:r w:rsidR="006F5A4E" w:rsidRPr="00932B8D">
              <w:rPr>
                <w:rFonts w:hint="eastAsia"/>
                <w:sz w:val="24"/>
              </w:rPr>
              <w:t>是国内唯一能够生产鳗鲡</w:t>
            </w:r>
            <w:proofErr w:type="gramStart"/>
            <w:r w:rsidR="006F5A4E" w:rsidRPr="00932B8D">
              <w:rPr>
                <w:rFonts w:hint="eastAsia"/>
                <w:sz w:val="24"/>
              </w:rPr>
              <w:t>养殖全</w:t>
            </w:r>
            <w:proofErr w:type="gramEnd"/>
            <w:r w:rsidR="006F5A4E" w:rsidRPr="00932B8D">
              <w:rPr>
                <w:rFonts w:hint="eastAsia"/>
                <w:sz w:val="24"/>
              </w:rPr>
              <w:t>过程配合饲料（包括益多美鳗鱼开口料、</w:t>
            </w:r>
            <w:proofErr w:type="gramStart"/>
            <w:r w:rsidR="006F5A4E" w:rsidRPr="00932B8D">
              <w:rPr>
                <w:rFonts w:hint="eastAsia"/>
                <w:sz w:val="24"/>
              </w:rPr>
              <w:t>白仔饲料</w:t>
            </w:r>
            <w:proofErr w:type="gramEnd"/>
            <w:r w:rsidR="006F5A4E" w:rsidRPr="00932B8D">
              <w:rPr>
                <w:rFonts w:hint="eastAsia"/>
                <w:sz w:val="24"/>
              </w:rPr>
              <w:t>、黑仔饲料、</w:t>
            </w:r>
            <w:proofErr w:type="gramStart"/>
            <w:r w:rsidR="006F5A4E" w:rsidRPr="00932B8D">
              <w:rPr>
                <w:rFonts w:hint="eastAsia"/>
                <w:sz w:val="24"/>
              </w:rPr>
              <w:t>幼鳗饲料</w:t>
            </w:r>
            <w:proofErr w:type="gramEnd"/>
            <w:r w:rsidR="006F5A4E" w:rsidRPr="00932B8D">
              <w:rPr>
                <w:rFonts w:hint="eastAsia"/>
                <w:sz w:val="24"/>
              </w:rPr>
              <w:t>、成鳗饲料等）的厂家，对养殖户有较大的吸引力</w:t>
            </w:r>
            <w:r w:rsidR="006F5A4E">
              <w:rPr>
                <w:rFonts w:hint="eastAsia"/>
                <w:sz w:val="24"/>
              </w:rPr>
              <w:t>；</w:t>
            </w:r>
            <w:r w:rsidR="006F5A4E" w:rsidRPr="00932B8D">
              <w:rPr>
                <w:sz w:val="24"/>
              </w:rPr>
              <w:t>除了保持健马牌鳗鲡饲料高端产品优势之外，</w:t>
            </w:r>
            <w:r w:rsidR="006F5A4E">
              <w:rPr>
                <w:rFonts w:hint="eastAsia"/>
                <w:sz w:val="24"/>
              </w:rPr>
              <w:t>同时</w:t>
            </w:r>
            <w:r w:rsidR="006F5A4E" w:rsidRPr="00932B8D">
              <w:rPr>
                <w:sz w:val="24"/>
              </w:rPr>
              <w:t>启动天马、星马牌</w:t>
            </w:r>
            <w:r w:rsidR="006F5A4E" w:rsidRPr="00932B8D">
              <w:rPr>
                <w:rFonts w:hint="eastAsia"/>
                <w:sz w:val="24"/>
              </w:rPr>
              <w:t>等多品牌战略</w:t>
            </w:r>
            <w:r w:rsidR="006F5A4E" w:rsidRPr="00932B8D">
              <w:rPr>
                <w:sz w:val="24"/>
              </w:rPr>
              <w:t>整合市场</w:t>
            </w:r>
            <w:r w:rsidR="006F5A4E">
              <w:rPr>
                <w:rFonts w:hint="eastAsia"/>
                <w:sz w:val="24"/>
              </w:rPr>
              <w:t>；</w:t>
            </w:r>
            <w:r w:rsidR="006F5A4E" w:rsidRPr="00932B8D">
              <w:rPr>
                <w:rFonts w:hint="eastAsia"/>
                <w:sz w:val="24"/>
              </w:rPr>
              <w:t>针对花鳗鲡、南美洲鳗鲡、日本</w:t>
            </w:r>
            <w:proofErr w:type="gramStart"/>
            <w:r w:rsidR="006F5A4E" w:rsidRPr="00932B8D">
              <w:rPr>
                <w:rFonts w:hint="eastAsia"/>
                <w:sz w:val="24"/>
              </w:rPr>
              <w:t>鳗</w:t>
            </w:r>
            <w:proofErr w:type="gramEnd"/>
            <w:r w:rsidR="006F5A4E" w:rsidRPr="00932B8D">
              <w:rPr>
                <w:rFonts w:hint="eastAsia"/>
                <w:sz w:val="24"/>
              </w:rPr>
              <w:t>活鳗养殖及肠炎病害高发期，</w:t>
            </w:r>
            <w:r w:rsidR="006F5A4E" w:rsidRPr="00932B8D">
              <w:rPr>
                <w:sz w:val="24"/>
              </w:rPr>
              <w:t>通过自主研</w:t>
            </w:r>
            <w:r w:rsidR="006F5A4E" w:rsidRPr="00932B8D">
              <w:rPr>
                <w:sz w:val="24"/>
              </w:rPr>
              <w:lastRenderedPageBreak/>
              <w:t>发推出</w:t>
            </w:r>
            <w:r w:rsidR="006F5A4E" w:rsidRPr="00932B8D">
              <w:rPr>
                <w:rFonts w:hint="eastAsia"/>
                <w:sz w:val="24"/>
              </w:rPr>
              <w:t>适宜</w:t>
            </w:r>
            <w:r w:rsidR="006F5A4E" w:rsidRPr="00932B8D">
              <w:rPr>
                <w:sz w:val="24"/>
              </w:rPr>
              <w:t>不同养殖品种</w:t>
            </w:r>
            <w:r w:rsidR="006F5A4E" w:rsidRPr="00932B8D">
              <w:rPr>
                <w:rFonts w:hint="eastAsia"/>
                <w:sz w:val="24"/>
              </w:rPr>
              <w:t>以及</w:t>
            </w:r>
            <w:r w:rsidR="006F5A4E" w:rsidRPr="00932B8D">
              <w:rPr>
                <w:sz w:val="24"/>
              </w:rPr>
              <w:t>鳗鲡不同生长阶段营养需求的花鳗专用料</w:t>
            </w:r>
            <w:r w:rsidR="006F5A4E" w:rsidRPr="00932B8D">
              <w:rPr>
                <w:rFonts w:hint="eastAsia"/>
                <w:sz w:val="24"/>
              </w:rPr>
              <w:t>、</w:t>
            </w:r>
            <w:r w:rsidR="006F5A4E" w:rsidRPr="00932B8D">
              <w:rPr>
                <w:sz w:val="24"/>
              </w:rPr>
              <w:t>美洲</w:t>
            </w:r>
            <w:proofErr w:type="gramStart"/>
            <w:r w:rsidR="006F5A4E" w:rsidRPr="00932B8D">
              <w:rPr>
                <w:sz w:val="24"/>
              </w:rPr>
              <w:t>鳗</w:t>
            </w:r>
            <w:proofErr w:type="gramEnd"/>
            <w:r w:rsidR="006F5A4E" w:rsidRPr="00932B8D">
              <w:rPr>
                <w:sz w:val="24"/>
              </w:rPr>
              <w:t>专用料、日本活鳗专用料</w:t>
            </w:r>
            <w:r w:rsidR="006F5A4E" w:rsidRPr="00932B8D">
              <w:rPr>
                <w:rFonts w:hint="eastAsia"/>
                <w:sz w:val="24"/>
              </w:rPr>
              <w:t>、</w:t>
            </w:r>
            <w:r w:rsidR="006F5A4E" w:rsidRPr="00932B8D">
              <w:rPr>
                <w:sz w:val="24"/>
              </w:rPr>
              <w:t>健康</w:t>
            </w:r>
            <w:r w:rsidR="006F5A4E" w:rsidRPr="00932B8D">
              <w:rPr>
                <w:sz w:val="24"/>
              </w:rPr>
              <w:t>9</w:t>
            </w:r>
            <w:r w:rsidR="006F5A4E" w:rsidRPr="00932B8D">
              <w:rPr>
                <w:sz w:val="24"/>
              </w:rPr>
              <w:t>号等系列差异化产品，以进一步</w:t>
            </w:r>
            <w:r w:rsidR="006F5A4E">
              <w:rPr>
                <w:rFonts w:hint="eastAsia"/>
                <w:sz w:val="24"/>
              </w:rPr>
              <w:t>稳定并占有</w:t>
            </w:r>
            <w:r w:rsidR="006F5A4E" w:rsidRPr="00932B8D">
              <w:rPr>
                <w:sz w:val="24"/>
              </w:rPr>
              <w:t>市场份额。</w:t>
            </w:r>
          </w:p>
          <w:p w:rsidR="000E3660" w:rsidRDefault="006F5A4E" w:rsidP="00CD7293">
            <w:pPr>
              <w:widowControl/>
              <w:adjustRightInd w:val="0"/>
              <w:snapToGrid w:val="0"/>
              <w:spacing w:line="360" w:lineRule="auto"/>
              <w:ind w:firstLineChars="200" w:firstLine="480"/>
              <w:jc w:val="left"/>
              <w:rPr>
                <w:rFonts w:eastAsiaTheme="minorEastAsia" w:hint="eastAsia"/>
                <w:sz w:val="24"/>
              </w:rPr>
            </w:pPr>
            <w:r>
              <w:rPr>
                <w:rFonts w:eastAsiaTheme="minorEastAsia" w:hint="eastAsia"/>
                <w:sz w:val="24"/>
              </w:rPr>
              <w:t>5</w:t>
            </w:r>
            <w:r w:rsidR="0021321C" w:rsidRPr="00957E76">
              <w:rPr>
                <w:rFonts w:eastAsiaTheme="minorEastAsia" w:hint="eastAsia"/>
                <w:sz w:val="24"/>
              </w:rPr>
              <w:t>、销售模式问题：</w:t>
            </w:r>
            <w:r w:rsidR="00957E76" w:rsidRPr="00957E76">
              <w:rPr>
                <w:rFonts w:eastAsiaTheme="minorEastAsia" w:hint="eastAsia"/>
                <w:sz w:val="24"/>
              </w:rPr>
              <w:t>公司采取</w:t>
            </w:r>
            <w:r w:rsidR="0021321C" w:rsidRPr="00957E76">
              <w:rPr>
                <w:rFonts w:eastAsiaTheme="minorEastAsia" w:hint="eastAsia"/>
                <w:sz w:val="24"/>
              </w:rPr>
              <w:t>直销和经销相结合的模式</w:t>
            </w:r>
            <w:r w:rsidR="00957E76" w:rsidRPr="00957E76">
              <w:rPr>
                <w:rFonts w:eastAsiaTheme="minorEastAsia" w:hint="eastAsia"/>
                <w:sz w:val="24"/>
              </w:rPr>
              <w:t>，其中</w:t>
            </w:r>
            <w:r w:rsidR="0021321C" w:rsidRPr="00957E76">
              <w:rPr>
                <w:rFonts w:eastAsiaTheme="minorEastAsia" w:hint="eastAsia"/>
                <w:sz w:val="24"/>
              </w:rPr>
              <w:t>鳗鲡大客户以直销为主，近年来营销</w:t>
            </w:r>
            <w:r w:rsidR="00957E76" w:rsidRPr="00957E76">
              <w:rPr>
                <w:rFonts w:eastAsiaTheme="minorEastAsia" w:hint="eastAsia"/>
                <w:sz w:val="24"/>
              </w:rPr>
              <w:t>采取更贴近市场的</w:t>
            </w:r>
            <w:r w:rsidR="0021321C" w:rsidRPr="00957E76">
              <w:rPr>
                <w:rFonts w:eastAsiaTheme="minorEastAsia" w:hint="eastAsia"/>
                <w:sz w:val="24"/>
              </w:rPr>
              <w:t>扁平快</w:t>
            </w:r>
            <w:r w:rsidR="00957E76" w:rsidRPr="00957E76">
              <w:rPr>
                <w:rFonts w:eastAsiaTheme="minorEastAsia" w:hint="eastAsia"/>
                <w:sz w:val="24"/>
              </w:rPr>
              <w:t>模式</w:t>
            </w:r>
            <w:r w:rsidR="0021321C" w:rsidRPr="00957E76">
              <w:rPr>
                <w:rFonts w:eastAsiaTheme="minorEastAsia" w:hint="eastAsia"/>
                <w:sz w:val="24"/>
              </w:rPr>
              <w:t>，能够让规模化养殖得到收益</w:t>
            </w:r>
            <w:r w:rsidR="00957E76" w:rsidRPr="00957E76">
              <w:rPr>
                <w:rFonts w:eastAsiaTheme="minorEastAsia" w:hint="eastAsia"/>
                <w:sz w:val="24"/>
              </w:rPr>
              <w:t>，目前</w:t>
            </w:r>
            <w:r w:rsidR="0021321C" w:rsidRPr="00957E76">
              <w:rPr>
                <w:rFonts w:eastAsiaTheme="minorEastAsia" w:hint="eastAsia"/>
                <w:sz w:val="24"/>
              </w:rPr>
              <w:t>直销</w:t>
            </w:r>
            <w:r w:rsidR="00957E76" w:rsidRPr="00957E76">
              <w:rPr>
                <w:rFonts w:eastAsiaTheme="minorEastAsia" w:hint="eastAsia"/>
                <w:sz w:val="24"/>
              </w:rPr>
              <w:t>和</w:t>
            </w:r>
            <w:proofErr w:type="gramStart"/>
            <w:r w:rsidR="00957E76" w:rsidRPr="00957E76">
              <w:rPr>
                <w:rFonts w:eastAsiaTheme="minorEastAsia" w:hint="eastAsia"/>
                <w:sz w:val="24"/>
              </w:rPr>
              <w:t>经销</w:t>
            </w:r>
            <w:r w:rsidR="0021321C" w:rsidRPr="00957E76">
              <w:rPr>
                <w:rFonts w:eastAsiaTheme="minorEastAsia" w:hint="eastAsia"/>
                <w:sz w:val="24"/>
              </w:rPr>
              <w:t>占</w:t>
            </w:r>
            <w:proofErr w:type="gramEnd"/>
            <w:r w:rsidR="0021321C" w:rsidRPr="00957E76">
              <w:rPr>
                <w:rFonts w:eastAsiaTheme="minorEastAsia" w:hint="eastAsia"/>
                <w:sz w:val="24"/>
              </w:rPr>
              <w:t>比</w:t>
            </w:r>
            <w:r w:rsidR="00957E76">
              <w:rPr>
                <w:rFonts w:eastAsiaTheme="minorEastAsia" w:hint="eastAsia"/>
                <w:sz w:val="24"/>
              </w:rPr>
              <w:t>约为</w:t>
            </w:r>
            <w:r w:rsidR="0021321C" w:rsidRPr="00957E76">
              <w:rPr>
                <w:rFonts w:eastAsiaTheme="minorEastAsia"/>
                <w:sz w:val="24"/>
              </w:rPr>
              <w:t>7</w:t>
            </w:r>
            <w:r w:rsidR="00957E76" w:rsidRPr="00957E76">
              <w:rPr>
                <w:rFonts w:eastAsiaTheme="minorEastAsia" w:hint="eastAsia"/>
                <w:sz w:val="24"/>
              </w:rPr>
              <w:t>：</w:t>
            </w:r>
            <w:r w:rsidR="0021321C" w:rsidRPr="00957E76">
              <w:rPr>
                <w:rFonts w:eastAsiaTheme="minorEastAsia"/>
                <w:sz w:val="24"/>
              </w:rPr>
              <w:t>3</w:t>
            </w:r>
            <w:r w:rsidR="0021321C" w:rsidRPr="00957E76">
              <w:rPr>
                <w:rFonts w:eastAsiaTheme="minorEastAsia"/>
                <w:sz w:val="24"/>
              </w:rPr>
              <w:t>。</w:t>
            </w:r>
          </w:p>
          <w:p w:rsidR="006F5A4E" w:rsidRPr="00721AEA" w:rsidRDefault="006F5A4E" w:rsidP="00CD7293">
            <w:pPr>
              <w:widowControl/>
              <w:adjustRightInd w:val="0"/>
              <w:snapToGrid w:val="0"/>
              <w:spacing w:line="360" w:lineRule="auto"/>
              <w:ind w:firstLineChars="200" w:firstLine="480"/>
              <w:jc w:val="left"/>
              <w:rPr>
                <w:rFonts w:eastAsiaTheme="minorEastAsia"/>
                <w:sz w:val="24"/>
              </w:rPr>
            </w:pPr>
            <w:r>
              <w:rPr>
                <w:rFonts w:eastAsiaTheme="minorEastAsia" w:hint="eastAsia"/>
                <w:sz w:val="24"/>
              </w:rPr>
              <w:t>6</w:t>
            </w:r>
            <w:r>
              <w:rPr>
                <w:rFonts w:eastAsiaTheme="minorEastAsia" w:hint="eastAsia"/>
                <w:sz w:val="24"/>
              </w:rPr>
              <w:t>、公司未来发展战略</w:t>
            </w:r>
            <w:r w:rsidR="00DD232B">
              <w:rPr>
                <w:rFonts w:eastAsiaTheme="minorEastAsia" w:hint="eastAsia"/>
                <w:sz w:val="24"/>
              </w:rPr>
              <w:t>：</w:t>
            </w:r>
            <w:r w:rsidR="00AB22FF" w:rsidRPr="00932B8D">
              <w:rPr>
                <w:rFonts w:hint="eastAsia"/>
                <w:sz w:val="24"/>
              </w:rPr>
              <w:t>公司专注于特种水产配合饲料的</w:t>
            </w:r>
            <w:r w:rsidR="00AB22FF">
              <w:rPr>
                <w:rFonts w:hint="eastAsia"/>
                <w:sz w:val="24"/>
              </w:rPr>
              <w:t>研发、生产和销售，将致力于打造特种水产饲料行业全球最大的供应商；</w:t>
            </w:r>
            <w:r w:rsidR="00DD232B" w:rsidRPr="00D474B1">
              <w:rPr>
                <w:rFonts w:hint="eastAsia"/>
                <w:sz w:val="24"/>
              </w:rPr>
              <w:t>将充分利用</w:t>
            </w:r>
            <w:r w:rsidR="00DD232B" w:rsidRPr="00D474B1">
              <w:rPr>
                <w:rFonts w:hint="eastAsia"/>
                <w:sz w:val="24"/>
              </w:rPr>
              <w:t>IPO</w:t>
            </w:r>
            <w:r w:rsidR="00DD232B" w:rsidRPr="00D474B1">
              <w:rPr>
                <w:rFonts w:hint="eastAsia"/>
                <w:sz w:val="24"/>
              </w:rPr>
              <w:t>募集资金项目建成投产优势和</w:t>
            </w:r>
            <w:proofErr w:type="gramStart"/>
            <w:r w:rsidR="00DD232B">
              <w:rPr>
                <w:rFonts w:hint="eastAsia"/>
                <w:sz w:val="24"/>
              </w:rPr>
              <w:t>拟发行</w:t>
            </w:r>
            <w:proofErr w:type="gramEnd"/>
            <w:r w:rsidR="00DD232B">
              <w:rPr>
                <w:rFonts w:hint="eastAsia"/>
                <w:sz w:val="24"/>
              </w:rPr>
              <w:t>的</w:t>
            </w:r>
            <w:r w:rsidR="00DD232B" w:rsidRPr="00D474B1">
              <w:rPr>
                <w:rFonts w:hint="eastAsia"/>
                <w:sz w:val="24"/>
              </w:rPr>
              <w:t>可转债</w:t>
            </w:r>
            <w:proofErr w:type="gramStart"/>
            <w:r w:rsidR="00DD232B" w:rsidRPr="00D474B1">
              <w:rPr>
                <w:rFonts w:hint="eastAsia"/>
                <w:sz w:val="24"/>
              </w:rPr>
              <w:t>募投项目</w:t>
            </w:r>
            <w:proofErr w:type="gramEnd"/>
            <w:r w:rsidR="00DD232B">
              <w:rPr>
                <w:rFonts w:hint="eastAsia"/>
                <w:sz w:val="24"/>
              </w:rPr>
              <w:t>未来产能的释放，</w:t>
            </w:r>
            <w:r w:rsidR="00DD232B" w:rsidRPr="00D474B1">
              <w:rPr>
                <w:rFonts w:ascii="Arial" w:hAnsi="Arial" w:cs="Arial"/>
                <w:color w:val="000000" w:themeColor="text1"/>
                <w:sz w:val="24"/>
              </w:rPr>
              <w:t>利用公司的</w:t>
            </w:r>
            <w:r w:rsidR="00DD232B" w:rsidRPr="00D474B1">
              <w:rPr>
                <w:rFonts w:ascii="Arial" w:hAnsi="Arial" w:cs="Arial" w:hint="eastAsia"/>
                <w:color w:val="000000" w:themeColor="text1"/>
                <w:sz w:val="24"/>
              </w:rPr>
              <w:t>技术、</w:t>
            </w:r>
            <w:r w:rsidR="00DD232B" w:rsidRPr="00D474B1">
              <w:rPr>
                <w:rFonts w:ascii="Arial" w:hAnsi="Arial" w:cs="Arial"/>
                <w:color w:val="000000" w:themeColor="text1"/>
                <w:sz w:val="24"/>
              </w:rPr>
              <w:t>资金、品牌、资源和管理等综合实力，</w:t>
            </w:r>
            <w:r w:rsidR="00DD232B">
              <w:rPr>
                <w:rFonts w:hint="eastAsia"/>
                <w:sz w:val="24"/>
              </w:rPr>
              <w:t>打造公司</w:t>
            </w:r>
            <w:r w:rsidR="00DD232B" w:rsidRPr="00D474B1">
              <w:rPr>
                <w:rFonts w:ascii="Arial" w:hAnsi="Arial" w:cs="Arial" w:hint="eastAsia"/>
                <w:color w:val="000000" w:themeColor="text1"/>
                <w:sz w:val="24"/>
              </w:rPr>
              <w:t>特种水产饲料细分产</w:t>
            </w:r>
            <w:r w:rsidR="00DD232B" w:rsidRPr="00DD232B">
              <w:rPr>
                <w:rFonts w:hAnsi="Arial"/>
                <w:color w:val="000000" w:themeColor="text1"/>
                <w:sz w:val="24"/>
              </w:rPr>
              <w:t>品</w:t>
            </w:r>
            <w:r w:rsidR="00DD232B" w:rsidRPr="00DD232B">
              <w:rPr>
                <w:color w:val="000000" w:themeColor="text1"/>
                <w:sz w:val="24"/>
              </w:rPr>
              <w:t>8</w:t>
            </w:r>
            <w:r w:rsidR="00DD232B" w:rsidRPr="00DD232B">
              <w:rPr>
                <w:rFonts w:hAnsi="Arial"/>
                <w:color w:val="000000" w:themeColor="text1"/>
                <w:sz w:val="24"/>
              </w:rPr>
              <w:t>至</w:t>
            </w:r>
            <w:r w:rsidR="00DD232B" w:rsidRPr="00DD232B">
              <w:rPr>
                <w:color w:val="000000" w:themeColor="text1"/>
                <w:sz w:val="24"/>
              </w:rPr>
              <w:t>10</w:t>
            </w:r>
            <w:r w:rsidR="00DD232B" w:rsidRPr="00D474B1">
              <w:rPr>
                <w:rFonts w:ascii="Arial" w:hAnsi="Arial" w:cs="Arial" w:hint="eastAsia"/>
                <w:color w:val="000000" w:themeColor="text1"/>
                <w:sz w:val="24"/>
              </w:rPr>
              <w:t>个品种的产销量全国第一</w:t>
            </w:r>
            <w:r w:rsidR="00DD232B">
              <w:rPr>
                <w:rFonts w:ascii="Arial" w:hAnsi="Arial" w:cs="Arial" w:hint="eastAsia"/>
                <w:color w:val="000000" w:themeColor="text1"/>
                <w:sz w:val="24"/>
              </w:rPr>
              <w:t>的中短期战略目标</w:t>
            </w:r>
            <w:r w:rsidR="00DD232B">
              <w:rPr>
                <w:rFonts w:hint="eastAsia"/>
                <w:sz w:val="24"/>
              </w:rPr>
              <w:t>，</w:t>
            </w:r>
            <w:r w:rsidR="00DD232B" w:rsidRPr="00D474B1">
              <w:rPr>
                <w:rFonts w:ascii="Arial" w:hAnsi="Arial" w:cs="Arial" w:hint="eastAsia"/>
                <w:color w:val="000000" w:themeColor="text1"/>
                <w:sz w:val="24"/>
              </w:rPr>
              <w:t>形成特种水产饲料产销</w:t>
            </w:r>
            <w:proofErr w:type="gramStart"/>
            <w:r w:rsidR="00DD232B" w:rsidRPr="00D474B1">
              <w:rPr>
                <w:rFonts w:ascii="Arial" w:hAnsi="Arial" w:cs="Arial" w:hint="eastAsia"/>
                <w:color w:val="000000" w:themeColor="text1"/>
                <w:sz w:val="24"/>
              </w:rPr>
              <w:t>量行业</w:t>
            </w:r>
            <w:proofErr w:type="gramEnd"/>
            <w:r w:rsidR="00DD232B" w:rsidRPr="00D474B1">
              <w:rPr>
                <w:rFonts w:ascii="Arial" w:hAnsi="Arial" w:cs="Arial" w:hint="eastAsia"/>
                <w:color w:val="000000" w:themeColor="text1"/>
                <w:sz w:val="24"/>
              </w:rPr>
              <w:t>相对龙头企业地位，具备行业话语权和市场定价能力</w:t>
            </w:r>
            <w:r w:rsidR="00AB22FF">
              <w:rPr>
                <w:rFonts w:ascii="Arial" w:hAnsi="Arial" w:cs="Arial" w:hint="eastAsia"/>
                <w:color w:val="000000" w:themeColor="text1"/>
                <w:sz w:val="24"/>
              </w:rPr>
              <w:t>。</w:t>
            </w:r>
          </w:p>
        </w:tc>
      </w:tr>
      <w:tr w:rsidR="00557E33" w:rsidTr="004F0D58">
        <w:trPr>
          <w:trHeight w:val="628"/>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lastRenderedPageBreak/>
              <w:t>备注</w:t>
            </w:r>
          </w:p>
        </w:tc>
        <w:tc>
          <w:tcPr>
            <w:tcW w:w="7830" w:type="dxa"/>
            <w:gridSpan w:val="3"/>
            <w:vAlign w:val="center"/>
          </w:tcPr>
          <w:p w:rsidR="00557E33" w:rsidRDefault="00494E47" w:rsidP="004F0D58">
            <w:pPr>
              <w:jc w:val="center"/>
              <w:rPr>
                <w:rFonts w:ascii="宋体" w:hAnsi="宋体"/>
                <w:b/>
                <w:sz w:val="24"/>
              </w:rPr>
            </w:pPr>
            <w:r>
              <w:rPr>
                <w:rFonts w:ascii="宋体" w:hAnsi="宋体" w:hint="eastAsia"/>
                <w:b/>
                <w:sz w:val="24"/>
              </w:rPr>
              <w:t>未提供书面材料。</w:t>
            </w:r>
          </w:p>
        </w:tc>
      </w:tr>
    </w:tbl>
    <w:p w:rsidR="00557E33" w:rsidRDefault="00557E33" w:rsidP="00557E33"/>
    <w:p w:rsidR="004C26C8" w:rsidRPr="009A1D80" w:rsidRDefault="002F6F7D"/>
    <w:sectPr w:rsidR="004C26C8" w:rsidRPr="009A1D80" w:rsidSect="00776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7D" w:rsidRDefault="002F6F7D" w:rsidP="00D3344E">
      <w:r>
        <w:separator/>
      </w:r>
    </w:p>
  </w:endnote>
  <w:endnote w:type="continuationSeparator" w:id="0">
    <w:p w:rsidR="002F6F7D" w:rsidRDefault="002F6F7D" w:rsidP="00D3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7D" w:rsidRDefault="002F6F7D" w:rsidP="00D3344E">
      <w:r>
        <w:separator/>
      </w:r>
    </w:p>
  </w:footnote>
  <w:footnote w:type="continuationSeparator" w:id="0">
    <w:p w:rsidR="002F6F7D" w:rsidRDefault="002F6F7D" w:rsidP="00D3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D80"/>
    <w:rsid w:val="00001BFE"/>
    <w:rsid w:val="00006F15"/>
    <w:rsid w:val="00023543"/>
    <w:rsid w:val="00043A22"/>
    <w:rsid w:val="000537DE"/>
    <w:rsid w:val="000A47F4"/>
    <w:rsid w:val="000B247D"/>
    <w:rsid w:val="000B5875"/>
    <w:rsid w:val="000E3660"/>
    <w:rsid w:val="001B23B5"/>
    <w:rsid w:val="001C623D"/>
    <w:rsid w:val="001F0C60"/>
    <w:rsid w:val="0021321C"/>
    <w:rsid w:val="0023233C"/>
    <w:rsid w:val="0028477D"/>
    <w:rsid w:val="0029687E"/>
    <w:rsid w:val="002D1BBF"/>
    <w:rsid w:val="002F6F7D"/>
    <w:rsid w:val="003170C9"/>
    <w:rsid w:val="003211DF"/>
    <w:rsid w:val="00335805"/>
    <w:rsid w:val="00341FCB"/>
    <w:rsid w:val="00361935"/>
    <w:rsid w:val="00367913"/>
    <w:rsid w:val="003D63E7"/>
    <w:rsid w:val="004153C0"/>
    <w:rsid w:val="00462957"/>
    <w:rsid w:val="00484398"/>
    <w:rsid w:val="00490D67"/>
    <w:rsid w:val="00494E47"/>
    <w:rsid w:val="004E1221"/>
    <w:rsid w:val="004F3497"/>
    <w:rsid w:val="005053D4"/>
    <w:rsid w:val="00512359"/>
    <w:rsid w:val="00557E33"/>
    <w:rsid w:val="005D1824"/>
    <w:rsid w:val="005E7FBF"/>
    <w:rsid w:val="006212AB"/>
    <w:rsid w:val="006872CA"/>
    <w:rsid w:val="006C1A93"/>
    <w:rsid w:val="006F107B"/>
    <w:rsid w:val="006F5A4E"/>
    <w:rsid w:val="00721AEA"/>
    <w:rsid w:val="007505C1"/>
    <w:rsid w:val="007616AE"/>
    <w:rsid w:val="007764EA"/>
    <w:rsid w:val="00794412"/>
    <w:rsid w:val="007A5C0D"/>
    <w:rsid w:val="007C32E4"/>
    <w:rsid w:val="007F54BB"/>
    <w:rsid w:val="00801108"/>
    <w:rsid w:val="0083319C"/>
    <w:rsid w:val="00845406"/>
    <w:rsid w:val="00852A11"/>
    <w:rsid w:val="00867CB2"/>
    <w:rsid w:val="00886DBD"/>
    <w:rsid w:val="008A587A"/>
    <w:rsid w:val="008B31EE"/>
    <w:rsid w:val="008C01AB"/>
    <w:rsid w:val="008F049B"/>
    <w:rsid w:val="00906C77"/>
    <w:rsid w:val="00912582"/>
    <w:rsid w:val="00923DB2"/>
    <w:rsid w:val="009248E0"/>
    <w:rsid w:val="009271BD"/>
    <w:rsid w:val="00957E76"/>
    <w:rsid w:val="009A1D80"/>
    <w:rsid w:val="009A6D7E"/>
    <w:rsid w:val="009C71A6"/>
    <w:rsid w:val="009F3BF2"/>
    <w:rsid w:val="00A932BD"/>
    <w:rsid w:val="00A96AB2"/>
    <w:rsid w:val="00AA6B9F"/>
    <w:rsid w:val="00AB22FF"/>
    <w:rsid w:val="00AB726F"/>
    <w:rsid w:val="00AD4C7B"/>
    <w:rsid w:val="00AE27EA"/>
    <w:rsid w:val="00AF047A"/>
    <w:rsid w:val="00B05FB8"/>
    <w:rsid w:val="00B36BD9"/>
    <w:rsid w:val="00B42DC9"/>
    <w:rsid w:val="00B6581E"/>
    <w:rsid w:val="00C075F1"/>
    <w:rsid w:val="00C53731"/>
    <w:rsid w:val="00C71683"/>
    <w:rsid w:val="00C913D7"/>
    <w:rsid w:val="00C96D75"/>
    <w:rsid w:val="00CA2119"/>
    <w:rsid w:val="00CA2EB8"/>
    <w:rsid w:val="00CD7293"/>
    <w:rsid w:val="00D0668A"/>
    <w:rsid w:val="00D3344E"/>
    <w:rsid w:val="00D523D6"/>
    <w:rsid w:val="00D65F40"/>
    <w:rsid w:val="00D96EA3"/>
    <w:rsid w:val="00DD232B"/>
    <w:rsid w:val="00DE6032"/>
    <w:rsid w:val="00E2557E"/>
    <w:rsid w:val="00E416A3"/>
    <w:rsid w:val="00E55AA2"/>
    <w:rsid w:val="00E8081E"/>
    <w:rsid w:val="00E83F3A"/>
    <w:rsid w:val="00EA349F"/>
    <w:rsid w:val="00EE4C40"/>
    <w:rsid w:val="00F374E9"/>
    <w:rsid w:val="00F56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A1D80"/>
  </w:style>
  <w:style w:type="paragraph" w:styleId="a3">
    <w:name w:val="header"/>
    <w:basedOn w:val="a"/>
    <w:link w:val="Char"/>
    <w:uiPriority w:val="99"/>
    <w:semiHidden/>
    <w:unhideWhenUsed/>
    <w:rsid w:val="00D33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44E"/>
    <w:rPr>
      <w:rFonts w:ascii="Times New Roman" w:eastAsia="宋体" w:hAnsi="Times New Roman" w:cs="Times New Roman"/>
      <w:sz w:val="18"/>
      <w:szCs w:val="18"/>
    </w:rPr>
  </w:style>
  <w:style w:type="paragraph" w:styleId="a4">
    <w:name w:val="footer"/>
    <w:basedOn w:val="a"/>
    <w:link w:val="Char0"/>
    <w:uiPriority w:val="99"/>
    <w:semiHidden/>
    <w:unhideWhenUsed/>
    <w:rsid w:val="00D334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44E"/>
    <w:rPr>
      <w:rFonts w:ascii="Times New Roman" w:eastAsia="宋体" w:hAnsi="Times New Roman" w:cs="Times New Roman"/>
      <w:sz w:val="18"/>
      <w:szCs w:val="18"/>
    </w:rPr>
  </w:style>
  <w:style w:type="table" w:styleId="a5">
    <w:name w:val="Table Grid"/>
    <w:basedOn w:val="a1"/>
    <w:rsid w:val="00557E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48E0"/>
    <w:pPr>
      <w:ind w:firstLineChars="200" w:firstLine="420"/>
    </w:pPr>
  </w:style>
</w:styles>
</file>

<file path=word/webSettings.xml><?xml version="1.0" encoding="utf-8"?>
<w:webSettings xmlns:r="http://schemas.openxmlformats.org/officeDocument/2006/relationships" xmlns:w="http://schemas.openxmlformats.org/wordprocessingml/2006/main">
  <w:divs>
    <w:div w:id="1010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15</cp:revision>
  <dcterms:created xsi:type="dcterms:W3CDTF">2017-09-15T05:15:00Z</dcterms:created>
  <dcterms:modified xsi:type="dcterms:W3CDTF">2017-09-15T06:25:00Z</dcterms:modified>
</cp:coreProperties>
</file>