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Pr="00A221CC">
        <w:rPr>
          <w:rFonts w:ascii="宋体" w:hAnsi="宋体" w:hint="eastAsia"/>
          <w:sz w:val="28"/>
          <w:szCs w:val="28"/>
        </w:rPr>
        <w:t>2017年</w:t>
      </w:r>
      <w:r w:rsidR="00F63D50" w:rsidRPr="00A221CC">
        <w:rPr>
          <w:rFonts w:ascii="宋体" w:hAnsi="宋体" w:hint="eastAsia"/>
          <w:sz w:val="28"/>
          <w:szCs w:val="28"/>
        </w:rPr>
        <w:t>9</w:t>
      </w:r>
      <w:r w:rsidRPr="00A221CC">
        <w:rPr>
          <w:rFonts w:ascii="宋体" w:hAnsi="宋体" w:hint="eastAsia"/>
          <w:sz w:val="28"/>
          <w:szCs w:val="28"/>
        </w:rPr>
        <w:t>月</w:t>
      </w:r>
      <w:r w:rsidR="00613BB2">
        <w:rPr>
          <w:rFonts w:ascii="宋体" w:hAnsi="宋体" w:hint="eastAsia"/>
          <w:sz w:val="28"/>
          <w:szCs w:val="28"/>
        </w:rPr>
        <w:t>12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297F72" w:rsidRPr="00A221CC">
        <w:rPr>
          <w:rFonts w:ascii="宋体" w:hAnsi="宋体" w:hint="eastAsia"/>
          <w:sz w:val="28"/>
          <w:szCs w:val="28"/>
        </w:rPr>
        <w:t>上海</w:t>
      </w:r>
      <w:r w:rsidR="00D57EC3">
        <w:rPr>
          <w:rFonts w:ascii="宋体" w:hAnsi="宋体" w:hint="eastAsia"/>
          <w:sz w:val="28"/>
          <w:szCs w:val="28"/>
        </w:rPr>
        <w:t>市青浦区朱枫公路1226号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6960" w:type="dxa"/>
        <w:jc w:val="center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2000"/>
      </w:tblGrid>
      <w:tr w:rsidR="00890941" w:rsidRPr="00A221CC" w:rsidTr="006B1CF1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A221CC" w:rsidRDefault="00890941" w:rsidP="008909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A221CC" w:rsidRDefault="00F3095D" w:rsidP="00CB18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A221CC" w:rsidRDefault="00F3095D" w:rsidP="00A221CC">
            <w:pPr>
              <w:widowControl/>
              <w:ind w:firstLineChars="100" w:firstLine="28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6B1CF1" w:rsidRPr="00A221CC" w:rsidTr="00084525">
        <w:trPr>
          <w:trHeight w:val="2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CF1" w:rsidRPr="00A221CC" w:rsidRDefault="006B1CF1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CF1" w:rsidRPr="00A221CC" w:rsidRDefault="0008452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兴业证券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CF1" w:rsidRPr="00A221CC" w:rsidRDefault="0008452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熊超、代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燕</w:t>
            </w:r>
          </w:p>
        </w:tc>
      </w:tr>
      <w:tr w:rsidR="00084525" w:rsidRPr="00A221CC" w:rsidTr="00084525">
        <w:trPr>
          <w:trHeight w:val="1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525" w:rsidRPr="00A221CC" w:rsidRDefault="0008452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525" w:rsidRPr="00A221CC" w:rsidRDefault="0008452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华泰证券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25" w:rsidRPr="00A221CC" w:rsidRDefault="0008452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王鹤</w:t>
            </w:r>
            <w:r w:rsidRPr="00084525">
              <w:rPr>
                <w:rFonts w:ascii="宋体" w:hAnsi="宋体" w:hint="eastAsia"/>
                <w:kern w:val="0"/>
                <w:sz w:val="28"/>
                <w:szCs w:val="28"/>
              </w:rPr>
              <w:t>岱</w:t>
            </w:r>
            <w:proofErr w:type="gramEnd"/>
          </w:p>
        </w:tc>
      </w:tr>
      <w:tr w:rsidR="00084525" w:rsidRPr="00A221CC" w:rsidTr="00084525">
        <w:trPr>
          <w:trHeight w:val="1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525" w:rsidRPr="00A221CC" w:rsidRDefault="0008452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525" w:rsidRDefault="0008452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浙江厚达投资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25" w:rsidRDefault="0008452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洪雷</w:t>
            </w:r>
          </w:p>
        </w:tc>
      </w:tr>
      <w:tr w:rsidR="00084525" w:rsidRPr="00A221CC" w:rsidTr="00084525">
        <w:trPr>
          <w:trHeight w:val="1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525" w:rsidRPr="00A221CC" w:rsidRDefault="0008452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525" w:rsidRDefault="00084525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吉渊投资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25" w:rsidRDefault="00084525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陈晓伟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633B8A">
        <w:rPr>
          <w:rFonts w:ascii="宋体" w:hAnsi="宋体" w:hint="eastAsia"/>
          <w:sz w:val="28"/>
          <w:szCs w:val="28"/>
        </w:rPr>
        <w:t>应建森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890941" w:rsidRPr="00A221CC">
        <w:rPr>
          <w:rFonts w:ascii="宋体" w:hAnsi="宋体" w:hint="eastAsia"/>
          <w:sz w:val="28"/>
          <w:szCs w:val="28"/>
        </w:rPr>
        <w:t>蒋蓓蓓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四、会议内容</w:t>
      </w:r>
    </w:p>
    <w:p w:rsidR="009649EE" w:rsidRPr="00A221CC" w:rsidRDefault="009649EE" w:rsidP="00B12841">
      <w:pPr>
        <w:ind w:firstLine="570"/>
        <w:rPr>
          <w:rFonts w:ascii="宋体" w:hAnsi="宋体"/>
          <w:sz w:val="28"/>
          <w:szCs w:val="28"/>
        </w:rPr>
      </w:pPr>
      <w:proofErr w:type="gramStart"/>
      <w:r w:rsidRPr="00A221CC">
        <w:rPr>
          <w:rFonts w:ascii="宋体" w:hAnsi="宋体" w:hint="eastAsia"/>
          <w:sz w:val="28"/>
          <w:szCs w:val="28"/>
        </w:rPr>
        <w:t>公司</w:t>
      </w:r>
      <w:r w:rsidR="00051CF7">
        <w:rPr>
          <w:rFonts w:ascii="宋体" w:hAnsi="宋体" w:hint="eastAsia"/>
          <w:sz w:val="28"/>
          <w:szCs w:val="28"/>
        </w:rPr>
        <w:t>董秘应建森</w:t>
      </w:r>
      <w:proofErr w:type="gramEnd"/>
      <w:r w:rsidR="00051CF7">
        <w:rPr>
          <w:rFonts w:ascii="宋体" w:hAnsi="宋体" w:hint="eastAsia"/>
          <w:sz w:val="28"/>
          <w:szCs w:val="28"/>
        </w:rPr>
        <w:t>先生</w:t>
      </w:r>
      <w:r w:rsidR="00980512" w:rsidRPr="00A221CC">
        <w:rPr>
          <w:rFonts w:ascii="宋体" w:hAnsi="宋体" w:hint="eastAsia"/>
          <w:sz w:val="28"/>
          <w:szCs w:val="28"/>
        </w:rPr>
        <w:t>就</w:t>
      </w:r>
      <w:r w:rsidR="00F92E54" w:rsidRPr="00A221CC">
        <w:rPr>
          <w:rFonts w:ascii="宋体" w:hAnsi="宋体" w:hint="eastAsia"/>
          <w:sz w:val="28"/>
          <w:szCs w:val="28"/>
        </w:rPr>
        <w:t>公司</w:t>
      </w:r>
      <w:r w:rsidR="000E7DA8" w:rsidRPr="00A221CC">
        <w:rPr>
          <w:rFonts w:ascii="宋体" w:hAnsi="宋体" w:hint="eastAsia"/>
          <w:sz w:val="28"/>
          <w:szCs w:val="28"/>
        </w:rPr>
        <w:t>半年度的业绩</w:t>
      </w:r>
      <w:r w:rsidR="00F92E54" w:rsidRPr="00A221CC">
        <w:rPr>
          <w:rFonts w:ascii="宋体" w:hAnsi="宋体" w:hint="eastAsia"/>
          <w:sz w:val="28"/>
          <w:szCs w:val="28"/>
        </w:rPr>
        <w:t>情况及</w:t>
      </w:r>
      <w:r w:rsidR="00980512" w:rsidRPr="00A221CC">
        <w:rPr>
          <w:rFonts w:ascii="宋体" w:hAnsi="宋体" w:hint="eastAsia"/>
          <w:sz w:val="28"/>
          <w:szCs w:val="28"/>
        </w:rPr>
        <w:t>投资者关注的</w:t>
      </w:r>
      <w:r w:rsidRPr="00A221CC">
        <w:rPr>
          <w:rFonts w:ascii="宋体" w:hAnsi="宋体" w:hint="eastAsia"/>
          <w:sz w:val="28"/>
          <w:szCs w:val="28"/>
        </w:rPr>
        <w:t>内容进行了交流，具体交流情况如下：</w:t>
      </w:r>
    </w:p>
    <w:p w:rsidR="00FF0F3F" w:rsidRDefault="00216DE7" w:rsidP="00FB408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一</w:t>
      </w:r>
      <w:r>
        <w:rPr>
          <w:rFonts w:asciiTheme="minorEastAsia" w:eastAsiaTheme="minorEastAsia" w:hAnsiTheme="minorEastAsia" w:hint="eastAsia"/>
          <w:sz w:val="28"/>
          <w:szCs w:val="28"/>
        </w:rPr>
        <w:t>、2017年上半年公司情况</w:t>
      </w:r>
      <w:r w:rsidR="0098382B">
        <w:rPr>
          <w:rFonts w:asciiTheme="minorEastAsia" w:eastAsiaTheme="minorEastAsia" w:hAnsiTheme="minorEastAsia" w:hint="eastAsia"/>
          <w:sz w:val="28"/>
          <w:szCs w:val="28"/>
        </w:rPr>
        <w:t>介绍</w:t>
      </w:r>
    </w:p>
    <w:p w:rsidR="0098382B" w:rsidRPr="0098382B" w:rsidRDefault="0098382B" w:rsidP="0098382B">
      <w:pPr>
        <w:ind w:firstLine="570"/>
        <w:rPr>
          <w:rFonts w:ascii="宋体" w:hAnsi="宋体"/>
          <w:sz w:val="28"/>
          <w:szCs w:val="28"/>
        </w:rPr>
      </w:pPr>
      <w:r w:rsidRPr="0098382B">
        <w:rPr>
          <w:rFonts w:ascii="宋体" w:hAnsi="宋体" w:hint="eastAsia"/>
          <w:bCs/>
          <w:sz w:val="28"/>
          <w:szCs w:val="28"/>
        </w:rPr>
        <w:t>（一）</w:t>
      </w:r>
      <w:r w:rsidRPr="0098382B">
        <w:rPr>
          <w:rFonts w:ascii="宋体" w:hAnsi="宋体"/>
          <w:bCs/>
          <w:sz w:val="28"/>
          <w:szCs w:val="28"/>
        </w:rPr>
        <w:t>国内市场</w:t>
      </w:r>
    </w:p>
    <w:p w:rsidR="0098382B" w:rsidRPr="0098382B" w:rsidRDefault="00806EC0" w:rsidP="0098382B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98382B" w:rsidRPr="0098382B">
        <w:rPr>
          <w:rFonts w:ascii="宋体" w:hAnsi="宋体"/>
          <w:sz w:val="28"/>
          <w:szCs w:val="28"/>
        </w:rPr>
        <w:t>销售渠道：</w:t>
      </w:r>
      <w:proofErr w:type="gramStart"/>
      <w:r w:rsidR="0098382B" w:rsidRPr="0098382B">
        <w:rPr>
          <w:rFonts w:ascii="宋体" w:hAnsi="宋体"/>
          <w:sz w:val="28"/>
          <w:szCs w:val="28"/>
        </w:rPr>
        <w:t>江浙沪直营</w:t>
      </w:r>
      <w:proofErr w:type="gramEnd"/>
      <w:r w:rsidR="0098382B" w:rsidRPr="0098382B">
        <w:rPr>
          <w:rFonts w:ascii="宋体" w:hAnsi="宋体"/>
          <w:sz w:val="28"/>
          <w:szCs w:val="28"/>
        </w:rPr>
        <w:t>、经销商、电子商务</w:t>
      </w:r>
      <w:r w:rsidR="0098382B">
        <w:rPr>
          <w:rFonts w:ascii="宋体" w:hAnsi="宋体"/>
          <w:sz w:val="28"/>
          <w:szCs w:val="28"/>
        </w:rPr>
        <w:t>及</w:t>
      </w:r>
      <w:r w:rsidR="0098382B" w:rsidRPr="0098382B">
        <w:rPr>
          <w:rFonts w:ascii="宋体" w:hAnsi="宋体" w:hint="eastAsia"/>
          <w:sz w:val="28"/>
          <w:szCs w:val="28"/>
        </w:rPr>
        <w:t>ODM业务</w:t>
      </w:r>
      <w:r w:rsidR="0098382B" w:rsidRPr="0098382B">
        <w:rPr>
          <w:rFonts w:ascii="宋体" w:hAnsi="宋体"/>
          <w:sz w:val="28"/>
          <w:szCs w:val="28"/>
        </w:rPr>
        <w:t>。</w:t>
      </w:r>
    </w:p>
    <w:p w:rsidR="0098382B" w:rsidRPr="0098382B" w:rsidRDefault="00806EC0" w:rsidP="0098382B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98382B" w:rsidRPr="0098382B">
        <w:rPr>
          <w:rFonts w:ascii="宋体" w:hAnsi="宋体"/>
          <w:sz w:val="28"/>
          <w:szCs w:val="28"/>
        </w:rPr>
        <w:t>线</w:t>
      </w:r>
      <w:proofErr w:type="gramStart"/>
      <w:r w:rsidR="0098382B" w:rsidRPr="0098382B">
        <w:rPr>
          <w:rFonts w:ascii="宋体" w:hAnsi="宋体"/>
          <w:sz w:val="28"/>
          <w:szCs w:val="28"/>
        </w:rPr>
        <w:t>上渠道</w:t>
      </w:r>
      <w:proofErr w:type="gramEnd"/>
      <w:r w:rsidR="0098382B" w:rsidRPr="0098382B">
        <w:rPr>
          <w:rFonts w:ascii="宋体" w:hAnsi="宋体"/>
          <w:sz w:val="28"/>
          <w:szCs w:val="28"/>
        </w:rPr>
        <w:t>增速很快，2015-17年上半年</w:t>
      </w:r>
      <w:proofErr w:type="gramStart"/>
      <w:r w:rsidR="0098382B" w:rsidRPr="0098382B">
        <w:rPr>
          <w:rFonts w:ascii="宋体" w:hAnsi="宋体"/>
          <w:sz w:val="28"/>
          <w:szCs w:val="28"/>
        </w:rPr>
        <w:t>在天猫</w:t>
      </w:r>
      <w:proofErr w:type="gramEnd"/>
      <w:r w:rsidR="0098382B" w:rsidRPr="0098382B">
        <w:rPr>
          <w:rFonts w:ascii="宋体" w:hAnsi="宋体"/>
          <w:sz w:val="28"/>
          <w:szCs w:val="28"/>
        </w:rPr>
        <w:t>/京东上</w:t>
      </w:r>
      <w:r w:rsidR="0098382B">
        <w:rPr>
          <w:rFonts w:ascii="宋体" w:hAnsi="宋体" w:hint="eastAsia"/>
          <w:sz w:val="28"/>
          <w:szCs w:val="28"/>
        </w:rPr>
        <w:t>销量</w:t>
      </w:r>
      <w:r w:rsidR="0098382B">
        <w:rPr>
          <w:rFonts w:ascii="宋体" w:hAnsi="宋体"/>
          <w:sz w:val="28"/>
          <w:szCs w:val="28"/>
        </w:rPr>
        <w:t>均排名第一</w:t>
      </w:r>
      <w:r w:rsidR="0098382B" w:rsidRPr="0098382B">
        <w:rPr>
          <w:rFonts w:ascii="宋体" w:hAnsi="宋体"/>
          <w:sz w:val="28"/>
          <w:szCs w:val="28"/>
        </w:rPr>
        <w:t>。</w:t>
      </w:r>
    </w:p>
    <w:p w:rsidR="0098382B" w:rsidRPr="0098382B" w:rsidRDefault="00806EC0" w:rsidP="00806EC0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3、</w:t>
      </w:r>
      <w:r w:rsidR="0098382B" w:rsidRPr="00806EC0">
        <w:rPr>
          <w:rFonts w:ascii="宋体" w:hAnsi="宋体"/>
          <w:sz w:val="28"/>
          <w:szCs w:val="28"/>
        </w:rPr>
        <w:t>门店数量</w:t>
      </w:r>
      <w:r>
        <w:rPr>
          <w:rFonts w:ascii="宋体" w:hAnsi="宋体" w:hint="eastAsia"/>
          <w:sz w:val="28"/>
          <w:szCs w:val="28"/>
        </w:rPr>
        <w:t>：</w:t>
      </w:r>
      <w:r w:rsidR="0098382B" w:rsidRPr="00806EC0">
        <w:rPr>
          <w:rFonts w:ascii="宋体" w:hAnsi="宋体"/>
          <w:sz w:val="28"/>
          <w:szCs w:val="28"/>
        </w:rPr>
        <w:t>1-6月新开</w:t>
      </w:r>
      <w:proofErr w:type="gramStart"/>
      <w:r>
        <w:rPr>
          <w:rFonts w:ascii="宋体" w:hAnsi="宋体" w:hint="eastAsia"/>
          <w:sz w:val="28"/>
          <w:szCs w:val="28"/>
        </w:rPr>
        <w:t>一类</w:t>
      </w:r>
      <w:r>
        <w:rPr>
          <w:rFonts w:ascii="宋体" w:hAnsi="宋体"/>
          <w:sz w:val="28"/>
          <w:szCs w:val="28"/>
        </w:rPr>
        <w:t>门</w:t>
      </w:r>
      <w:proofErr w:type="gramEnd"/>
      <w:r>
        <w:rPr>
          <w:rFonts w:ascii="宋体" w:hAnsi="宋体"/>
          <w:sz w:val="28"/>
          <w:szCs w:val="28"/>
        </w:rPr>
        <w:t>店</w:t>
      </w:r>
      <w:r w:rsidR="0098382B" w:rsidRPr="00806EC0">
        <w:rPr>
          <w:rFonts w:ascii="宋体" w:hAnsi="宋体"/>
          <w:sz w:val="28"/>
          <w:szCs w:val="28"/>
        </w:rPr>
        <w:t>78家，直营的十多家，剩下的都是经销商开设</w:t>
      </w:r>
      <w:r>
        <w:rPr>
          <w:rFonts w:ascii="宋体" w:hAnsi="宋体" w:hint="eastAsia"/>
          <w:sz w:val="28"/>
          <w:szCs w:val="28"/>
        </w:rPr>
        <w:t>。</w:t>
      </w:r>
    </w:p>
    <w:p w:rsidR="0098382B" w:rsidRPr="00806EC0" w:rsidRDefault="0098382B" w:rsidP="00806EC0">
      <w:pPr>
        <w:pStyle w:val="a6"/>
        <w:numPr>
          <w:ilvl w:val="0"/>
          <w:numId w:val="20"/>
        </w:numPr>
        <w:ind w:firstLineChars="0"/>
        <w:rPr>
          <w:rFonts w:ascii="宋体" w:hAnsi="宋体"/>
          <w:sz w:val="28"/>
          <w:szCs w:val="28"/>
        </w:rPr>
      </w:pPr>
      <w:r w:rsidRPr="00806EC0">
        <w:rPr>
          <w:rFonts w:ascii="宋体" w:hAnsi="宋体"/>
          <w:bCs/>
          <w:sz w:val="28"/>
          <w:szCs w:val="28"/>
        </w:rPr>
        <w:t>海外市场</w:t>
      </w:r>
    </w:p>
    <w:p w:rsidR="0098382B" w:rsidRPr="0098382B" w:rsidRDefault="00806EC0" w:rsidP="00806EC0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98382B" w:rsidRPr="0098382B">
        <w:rPr>
          <w:rFonts w:ascii="宋体" w:hAnsi="宋体"/>
          <w:sz w:val="28"/>
          <w:szCs w:val="28"/>
        </w:rPr>
        <w:t>BODY FRIEND去年上半年占总销售收入5</w:t>
      </w:r>
      <w:r>
        <w:rPr>
          <w:rFonts w:ascii="宋体" w:hAnsi="宋体" w:hint="eastAsia"/>
          <w:sz w:val="28"/>
          <w:szCs w:val="28"/>
        </w:rPr>
        <w:t>2</w:t>
      </w:r>
      <w:r w:rsidR="0098382B" w:rsidRPr="0098382B">
        <w:rPr>
          <w:rFonts w:ascii="宋体" w:hAnsi="宋体"/>
          <w:sz w:val="28"/>
          <w:szCs w:val="28"/>
        </w:rPr>
        <w:t>%，全年占47%</w:t>
      </w:r>
      <w:r>
        <w:rPr>
          <w:rFonts w:ascii="宋体" w:hAnsi="宋体" w:hint="eastAsia"/>
          <w:sz w:val="28"/>
          <w:szCs w:val="28"/>
        </w:rPr>
        <w:t>，今年</w:t>
      </w:r>
      <w:r>
        <w:rPr>
          <w:rFonts w:ascii="宋体" w:hAnsi="宋体"/>
          <w:sz w:val="28"/>
          <w:szCs w:val="28"/>
        </w:rPr>
        <w:t>上半年占</w:t>
      </w:r>
      <w:r w:rsidR="0098382B" w:rsidRPr="0098382B">
        <w:rPr>
          <w:rFonts w:ascii="宋体" w:hAnsi="宋体"/>
          <w:sz w:val="28"/>
          <w:szCs w:val="28"/>
        </w:rPr>
        <w:t>41%。</w:t>
      </w:r>
    </w:p>
    <w:p w:rsidR="0098382B" w:rsidRPr="00F019A5" w:rsidRDefault="0098382B" w:rsidP="00F019A5">
      <w:pPr>
        <w:pStyle w:val="a6"/>
        <w:numPr>
          <w:ilvl w:val="0"/>
          <w:numId w:val="20"/>
        </w:numPr>
        <w:ind w:firstLineChars="0"/>
        <w:rPr>
          <w:rFonts w:ascii="宋体" w:hAnsi="宋体"/>
          <w:sz w:val="28"/>
          <w:szCs w:val="28"/>
        </w:rPr>
      </w:pPr>
      <w:r w:rsidRPr="00F019A5">
        <w:rPr>
          <w:rFonts w:ascii="宋体" w:hAnsi="宋体"/>
          <w:bCs/>
          <w:sz w:val="28"/>
          <w:szCs w:val="28"/>
        </w:rPr>
        <w:t>研发</w:t>
      </w:r>
    </w:p>
    <w:p w:rsidR="0098382B" w:rsidRPr="00F019A5" w:rsidRDefault="00F019A5" w:rsidP="00F019A5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98382B" w:rsidRPr="00F019A5">
        <w:rPr>
          <w:rFonts w:ascii="宋体" w:hAnsi="宋体"/>
          <w:sz w:val="28"/>
          <w:szCs w:val="28"/>
        </w:rPr>
        <w:t>每年</w:t>
      </w:r>
      <w:r w:rsidRPr="00F019A5">
        <w:rPr>
          <w:rFonts w:ascii="宋体" w:hAnsi="宋体" w:hint="eastAsia"/>
          <w:sz w:val="28"/>
          <w:szCs w:val="28"/>
        </w:rPr>
        <w:t>研发投入不低于营业收入的5%。</w:t>
      </w:r>
    </w:p>
    <w:p w:rsidR="0098382B" w:rsidRPr="0098382B" w:rsidRDefault="00F019A5" w:rsidP="00F019A5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98382B" w:rsidRPr="0098382B">
        <w:rPr>
          <w:rFonts w:ascii="宋体" w:hAnsi="宋体"/>
          <w:sz w:val="28"/>
          <w:szCs w:val="28"/>
        </w:rPr>
        <w:t>战略合作：喜马拉雅、暴风魔</w:t>
      </w:r>
      <w:proofErr w:type="gramStart"/>
      <w:r w:rsidR="0098382B" w:rsidRPr="0098382B">
        <w:rPr>
          <w:rFonts w:ascii="宋体" w:hAnsi="宋体"/>
          <w:sz w:val="28"/>
          <w:szCs w:val="28"/>
        </w:rPr>
        <w:t>镜合作</w:t>
      </w:r>
      <w:proofErr w:type="gramEnd"/>
      <w:r w:rsidR="0098382B" w:rsidRPr="0098382B">
        <w:rPr>
          <w:rFonts w:ascii="宋体" w:hAnsi="宋体"/>
          <w:sz w:val="28"/>
          <w:szCs w:val="28"/>
        </w:rPr>
        <w:t>方提供视听内容支持</w:t>
      </w:r>
    </w:p>
    <w:p w:rsidR="0098382B" w:rsidRPr="00F019A5" w:rsidRDefault="0098382B" w:rsidP="00F019A5">
      <w:pPr>
        <w:pStyle w:val="a6"/>
        <w:numPr>
          <w:ilvl w:val="0"/>
          <w:numId w:val="20"/>
        </w:numPr>
        <w:ind w:firstLineChars="0"/>
        <w:rPr>
          <w:rFonts w:ascii="宋体" w:hAnsi="宋体"/>
          <w:sz w:val="28"/>
          <w:szCs w:val="28"/>
        </w:rPr>
      </w:pPr>
      <w:r w:rsidRPr="00F019A5">
        <w:rPr>
          <w:rFonts w:ascii="宋体" w:hAnsi="宋体"/>
          <w:bCs/>
          <w:sz w:val="28"/>
          <w:szCs w:val="28"/>
        </w:rPr>
        <w:t>对外投资</w:t>
      </w:r>
    </w:p>
    <w:p w:rsidR="0098382B" w:rsidRPr="0098382B" w:rsidRDefault="00F019A5" w:rsidP="00F019A5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1、与</w:t>
      </w:r>
      <w:r w:rsidR="0098382B" w:rsidRPr="0098382B">
        <w:rPr>
          <w:rFonts w:ascii="宋体" w:hAnsi="宋体"/>
          <w:sz w:val="28"/>
          <w:szCs w:val="28"/>
        </w:rPr>
        <w:t>BF</w:t>
      </w:r>
      <w:r>
        <w:rPr>
          <w:rFonts w:ascii="宋体" w:hAnsi="宋体"/>
          <w:sz w:val="28"/>
          <w:szCs w:val="28"/>
        </w:rPr>
        <w:t>合作</w:t>
      </w:r>
      <w:r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/>
          <w:sz w:val="28"/>
          <w:szCs w:val="28"/>
        </w:rPr>
        <w:t>美成立公司</w:t>
      </w:r>
      <w:r w:rsidR="0098382B" w:rsidRPr="0098382B">
        <w:rPr>
          <w:rFonts w:ascii="宋体" w:hAnsi="宋体"/>
          <w:sz w:val="28"/>
          <w:szCs w:val="28"/>
        </w:rPr>
        <w:t>：希望复制韩国成功经验，BF负责渠道和品牌、荣泰负责制造</w:t>
      </w:r>
      <w:r>
        <w:rPr>
          <w:rFonts w:ascii="宋体" w:hAnsi="宋体" w:hint="eastAsia"/>
          <w:sz w:val="28"/>
          <w:szCs w:val="28"/>
        </w:rPr>
        <w:t>。</w:t>
      </w:r>
    </w:p>
    <w:p w:rsidR="0098382B" w:rsidRPr="00F019A5" w:rsidRDefault="0098382B" w:rsidP="00F019A5">
      <w:pPr>
        <w:pStyle w:val="a6"/>
        <w:numPr>
          <w:ilvl w:val="0"/>
          <w:numId w:val="20"/>
        </w:numPr>
        <w:ind w:firstLineChars="0"/>
        <w:rPr>
          <w:rFonts w:ascii="宋体" w:hAnsi="宋体"/>
          <w:sz w:val="28"/>
          <w:szCs w:val="28"/>
        </w:rPr>
      </w:pPr>
      <w:r w:rsidRPr="00F019A5">
        <w:rPr>
          <w:rFonts w:ascii="宋体" w:hAnsi="宋体"/>
          <w:bCs/>
          <w:sz w:val="28"/>
          <w:szCs w:val="28"/>
        </w:rPr>
        <w:t>摩</w:t>
      </w:r>
      <w:proofErr w:type="gramStart"/>
      <w:r w:rsidRPr="00F019A5">
        <w:rPr>
          <w:rFonts w:ascii="宋体" w:hAnsi="宋体"/>
          <w:bCs/>
          <w:sz w:val="28"/>
          <w:szCs w:val="28"/>
        </w:rPr>
        <w:t>摩</w:t>
      </w:r>
      <w:proofErr w:type="gramEnd"/>
      <w:r w:rsidRPr="00F019A5">
        <w:rPr>
          <w:rFonts w:ascii="宋体" w:hAnsi="宋体"/>
          <w:bCs/>
          <w:sz w:val="28"/>
          <w:szCs w:val="28"/>
        </w:rPr>
        <w:t>哒</w:t>
      </w:r>
    </w:p>
    <w:p w:rsidR="00B84743" w:rsidRDefault="0098382B" w:rsidP="00B84743">
      <w:pPr>
        <w:spacing w:line="360" w:lineRule="auto"/>
        <w:ind w:left="720" w:firstLineChars="200" w:firstLine="560"/>
        <w:rPr>
          <w:rFonts w:ascii="宋体" w:hAnsi="宋体" w:hint="eastAsia"/>
          <w:sz w:val="28"/>
          <w:szCs w:val="28"/>
        </w:rPr>
      </w:pPr>
      <w:r w:rsidRPr="00F019A5">
        <w:rPr>
          <w:rFonts w:ascii="宋体" w:hAnsi="宋体"/>
          <w:sz w:val="28"/>
          <w:szCs w:val="28"/>
        </w:rPr>
        <w:t>2016年底</w:t>
      </w:r>
      <w:r w:rsidR="0091032C">
        <w:rPr>
          <w:rFonts w:ascii="宋体" w:hAnsi="宋体"/>
          <w:sz w:val="28"/>
          <w:szCs w:val="28"/>
        </w:rPr>
        <w:t>摩</w:t>
      </w:r>
      <w:proofErr w:type="gramStart"/>
      <w:r w:rsidR="0091032C">
        <w:rPr>
          <w:rFonts w:ascii="宋体" w:hAnsi="宋体"/>
          <w:sz w:val="28"/>
          <w:szCs w:val="28"/>
        </w:rPr>
        <w:t>摩哒</w:t>
      </w:r>
      <w:r w:rsidR="0091032C">
        <w:rPr>
          <w:rFonts w:ascii="宋体" w:hAnsi="宋体" w:hint="eastAsia"/>
          <w:sz w:val="28"/>
          <w:szCs w:val="28"/>
        </w:rPr>
        <w:t>共</w:t>
      </w:r>
      <w:proofErr w:type="gramEnd"/>
      <w:r w:rsidR="0091032C">
        <w:rPr>
          <w:rFonts w:ascii="宋体" w:hAnsi="宋体"/>
          <w:sz w:val="28"/>
          <w:szCs w:val="28"/>
        </w:rPr>
        <w:t>铺设</w:t>
      </w:r>
      <w:r w:rsidRPr="00F019A5">
        <w:rPr>
          <w:rFonts w:ascii="宋体" w:hAnsi="宋体"/>
          <w:sz w:val="28"/>
          <w:szCs w:val="28"/>
        </w:rPr>
        <w:t>1万台，2017年6月底</w:t>
      </w:r>
      <w:r w:rsidR="0091032C">
        <w:rPr>
          <w:rFonts w:ascii="宋体" w:hAnsi="宋体"/>
          <w:sz w:val="28"/>
          <w:szCs w:val="28"/>
        </w:rPr>
        <w:t>累积铺设了</w:t>
      </w:r>
      <w:r w:rsidRPr="00F019A5">
        <w:rPr>
          <w:rFonts w:ascii="宋体" w:hAnsi="宋体"/>
          <w:sz w:val="28"/>
          <w:szCs w:val="28"/>
        </w:rPr>
        <w:t>2.7万台，2017年底目标</w:t>
      </w:r>
      <w:r w:rsidR="0091032C">
        <w:rPr>
          <w:rFonts w:ascii="宋体" w:hAnsi="宋体"/>
          <w:sz w:val="28"/>
          <w:szCs w:val="28"/>
        </w:rPr>
        <w:t>为</w:t>
      </w:r>
      <w:r w:rsidRPr="00F019A5">
        <w:rPr>
          <w:rFonts w:ascii="宋体" w:hAnsi="宋体"/>
          <w:sz w:val="28"/>
          <w:szCs w:val="28"/>
        </w:rPr>
        <w:t>铺设</w:t>
      </w:r>
      <w:r w:rsidR="0091032C">
        <w:rPr>
          <w:rFonts w:ascii="宋体" w:hAnsi="宋体"/>
          <w:sz w:val="28"/>
          <w:szCs w:val="28"/>
        </w:rPr>
        <w:t>到</w:t>
      </w:r>
      <w:r w:rsidRPr="00F019A5">
        <w:rPr>
          <w:rFonts w:ascii="宋体" w:hAnsi="宋体"/>
          <w:sz w:val="28"/>
          <w:szCs w:val="28"/>
        </w:rPr>
        <w:t>5万台。</w:t>
      </w:r>
      <w:r w:rsidR="0091032C" w:rsidRPr="0091032C">
        <w:rPr>
          <w:rFonts w:ascii="宋体" w:hAnsi="宋体" w:hint="eastAsia"/>
          <w:sz w:val="28"/>
          <w:szCs w:val="28"/>
        </w:rPr>
        <w:t>目前摩</w:t>
      </w:r>
      <w:proofErr w:type="gramStart"/>
      <w:r w:rsidR="0091032C" w:rsidRPr="0091032C">
        <w:rPr>
          <w:rFonts w:ascii="宋体" w:hAnsi="宋体" w:hint="eastAsia"/>
          <w:sz w:val="28"/>
          <w:szCs w:val="28"/>
        </w:rPr>
        <w:t>摩</w:t>
      </w:r>
      <w:proofErr w:type="gramEnd"/>
      <w:r w:rsidR="0091032C" w:rsidRPr="0091032C">
        <w:rPr>
          <w:rFonts w:ascii="宋体" w:hAnsi="宋体" w:hint="eastAsia"/>
          <w:sz w:val="28"/>
          <w:szCs w:val="28"/>
        </w:rPr>
        <w:t>哒覆盖300多个城市、90%千万票房影院。关注摩</w:t>
      </w:r>
      <w:proofErr w:type="gramStart"/>
      <w:r w:rsidR="0091032C" w:rsidRPr="0091032C">
        <w:rPr>
          <w:rFonts w:ascii="宋体" w:hAnsi="宋体" w:hint="eastAsia"/>
          <w:sz w:val="28"/>
          <w:szCs w:val="28"/>
        </w:rPr>
        <w:t>摩哒微信公众号</w:t>
      </w:r>
      <w:proofErr w:type="gramEnd"/>
      <w:r w:rsidR="0091032C" w:rsidRPr="0091032C">
        <w:rPr>
          <w:rFonts w:ascii="宋体" w:hAnsi="宋体" w:hint="eastAsia"/>
          <w:sz w:val="28"/>
          <w:szCs w:val="28"/>
        </w:rPr>
        <w:t>的用户已经达千万量级，摩</w:t>
      </w:r>
      <w:proofErr w:type="gramStart"/>
      <w:r w:rsidR="0091032C" w:rsidRPr="0091032C">
        <w:rPr>
          <w:rFonts w:ascii="宋体" w:hAnsi="宋体" w:hint="eastAsia"/>
          <w:sz w:val="28"/>
          <w:szCs w:val="28"/>
        </w:rPr>
        <w:t>摩</w:t>
      </w:r>
      <w:proofErr w:type="gramEnd"/>
      <w:r w:rsidR="0091032C" w:rsidRPr="0091032C">
        <w:rPr>
          <w:rFonts w:ascii="宋体" w:hAnsi="宋体" w:hint="eastAsia"/>
          <w:sz w:val="28"/>
          <w:szCs w:val="28"/>
        </w:rPr>
        <w:t>哒APP</w:t>
      </w:r>
      <w:r w:rsidR="0091032C">
        <w:rPr>
          <w:rFonts w:ascii="宋体" w:hAnsi="宋体" w:hint="eastAsia"/>
          <w:sz w:val="28"/>
          <w:szCs w:val="28"/>
        </w:rPr>
        <w:t>的下载量已经达百万级</w:t>
      </w:r>
      <w:r w:rsidR="0091032C" w:rsidRPr="0091032C">
        <w:rPr>
          <w:rFonts w:ascii="宋体" w:hAnsi="宋体" w:hint="eastAsia"/>
          <w:sz w:val="28"/>
          <w:szCs w:val="28"/>
        </w:rPr>
        <w:t>。</w:t>
      </w:r>
    </w:p>
    <w:p w:rsidR="0098382B" w:rsidRPr="0098382B" w:rsidRDefault="00B84743" w:rsidP="00B84743">
      <w:pPr>
        <w:spacing w:line="360" w:lineRule="auto"/>
        <w:ind w:left="720" w:firstLineChars="200" w:firstLine="56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从共享商用按摩椅（上半年2.7万台，去年是1万台），往年轻化的家用品牌（电子商务+实体店）+自流量</w:t>
      </w:r>
      <w:proofErr w:type="gramStart"/>
      <w:r w:rsidRPr="00B84743">
        <w:rPr>
          <w:rFonts w:ascii="宋体" w:hAnsi="宋体" w:hint="eastAsia"/>
          <w:sz w:val="28"/>
          <w:szCs w:val="28"/>
        </w:rPr>
        <w:t>微店摩摩哒严选</w:t>
      </w:r>
      <w:proofErr w:type="gramEnd"/>
      <w:r w:rsidRPr="00B84743">
        <w:rPr>
          <w:rFonts w:ascii="宋体" w:hAnsi="宋体" w:hint="eastAsia"/>
          <w:sz w:val="28"/>
          <w:szCs w:val="28"/>
        </w:rPr>
        <w:t>+广告业务（找摩</w:t>
      </w:r>
      <w:proofErr w:type="gramStart"/>
      <w:r w:rsidRPr="00B84743">
        <w:rPr>
          <w:rFonts w:ascii="宋体" w:hAnsi="宋体" w:hint="eastAsia"/>
          <w:sz w:val="28"/>
          <w:szCs w:val="28"/>
        </w:rPr>
        <w:t>摩哒进行</w:t>
      </w:r>
      <w:proofErr w:type="gramEnd"/>
      <w:r w:rsidRPr="00B84743">
        <w:rPr>
          <w:rFonts w:ascii="宋体" w:hAnsi="宋体" w:hint="eastAsia"/>
          <w:sz w:val="28"/>
          <w:szCs w:val="28"/>
        </w:rPr>
        <w:t>推广合作）+充</w:t>
      </w:r>
      <w:proofErr w:type="gramStart"/>
      <w:r w:rsidRPr="00B84743">
        <w:rPr>
          <w:rFonts w:ascii="宋体" w:hAnsi="宋体" w:hint="eastAsia"/>
          <w:sz w:val="28"/>
          <w:szCs w:val="28"/>
        </w:rPr>
        <w:t>值金融</w:t>
      </w:r>
      <w:proofErr w:type="gramEnd"/>
      <w:r w:rsidRPr="00B84743">
        <w:rPr>
          <w:rFonts w:ascii="宋体" w:hAnsi="宋体" w:hint="eastAsia"/>
          <w:sz w:val="28"/>
          <w:szCs w:val="28"/>
        </w:rPr>
        <w:t>业务（储</w:t>
      </w:r>
      <w:proofErr w:type="gramStart"/>
      <w:r w:rsidRPr="00B84743">
        <w:rPr>
          <w:rFonts w:ascii="宋体" w:hAnsi="宋体" w:hint="eastAsia"/>
          <w:sz w:val="28"/>
          <w:szCs w:val="28"/>
        </w:rPr>
        <w:t>值业务</w:t>
      </w:r>
      <w:proofErr w:type="gramEnd"/>
      <w:r w:rsidRPr="00B84743">
        <w:rPr>
          <w:rFonts w:ascii="宋体" w:hAnsi="宋体" w:hint="eastAsia"/>
          <w:sz w:val="28"/>
          <w:szCs w:val="28"/>
        </w:rPr>
        <w:t>这个月是300、400万）</w:t>
      </w:r>
    </w:p>
    <w:p w:rsidR="0098382B" w:rsidRPr="00B84743" w:rsidRDefault="0098382B" w:rsidP="00B84743">
      <w:pPr>
        <w:spacing w:line="360" w:lineRule="auto"/>
        <w:ind w:left="720" w:firstLineChars="200" w:firstLine="560"/>
        <w:rPr>
          <w:rFonts w:ascii="宋体" w:hAnsi="宋体"/>
          <w:sz w:val="28"/>
          <w:szCs w:val="28"/>
        </w:rPr>
      </w:pPr>
      <w:r w:rsidRPr="0098382B">
        <w:rPr>
          <w:rFonts w:ascii="宋体" w:hAnsi="宋体"/>
          <w:sz w:val="28"/>
          <w:szCs w:val="28"/>
        </w:rPr>
        <w:t>与CGV已经签订合作协议，铺设100家影院按摩椅内厅。</w:t>
      </w:r>
      <w:r w:rsidRPr="00B84743">
        <w:rPr>
          <w:rFonts w:ascii="宋体" w:hAnsi="宋体"/>
          <w:sz w:val="28"/>
          <w:szCs w:val="28"/>
        </w:rPr>
        <w:t>产品方面，针对影院场地方防火、牢固、噪音低、小型化的要</w:t>
      </w:r>
      <w:r w:rsidRPr="00B84743">
        <w:rPr>
          <w:rFonts w:ascii="宋体" w:hAnsi="宋体"/>
          <w:sz w:val="28"/>
          <w:szCs w:val="28"/>
        </w:rPr>
        <w:lastRenderedPageBreak/>
        <w:t>求（</w:t>
      </w:r>
      <w:proofErr w:type="gramStart"/>
      <w:r w:rsidRPr="00B84743">
        <w:rPr>
          <w:rFonts w:ascii="宋体" w:hAnsi="宋体"/>
          <w:sz w:val="28"/>
          <w:szCs w:val="28"/>
        </w:rPr>
        <w:t>亲测体验</w:t>
      </w:r>
      <w:proofErr w:type="gramEnd"/>
      <w:r w:rsidRPr="00B84743">
        <w:rPr>
          <w:rFonts w:ascii="宋体" w:hAnsi="宋体"/>
          <w:sz w:val="28"/>
          <w:szCs w:val="28"/>
        </w:rPr>
        <w:t>效果佳），开发全新的按摩椅产品。</w:t>
      </w:r>
    </w:p>
    <w:p w:rsidR="00216DE7" w:rsidRDefault="00B84743" w:rsidP="00216DE7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（二）投资者提问环节</w:t>
      </w:r>
    </w:p>
    <w:p w:rsidR="00B84743" w:rsidRP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1、共享</w:t>
      </w:r>
      <w:r w:rsidRPr="00B84743">
        <w:rPr>
          <w:rFonts w:ascii="宋体" w:hAnsi="宋体" w:hint="eastAsia"/>
          <w:sz w:val="28"/>
          <w:szCs w:val="28"/>
        </w:rPr>
        <w:t>按摩椅产品为什么能快速铺开？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支付方式改变（技术上突破，如移动支付）。植入了场景的特殊性：占用空间少，能够利用消费者的碎片时间。共享经济的优势：盈利模式清晰，能用自己的收入摊销运营成本，投资回报周期短。劣势：消费频率偏低，但会随着产品渗透率提升而提升。从运营数据看，新铺设场景质量可能会有下降趋势，但单台按摩椅的使用频次在提高。</w:t>
      </w:r>
    </w:p>
    <w:p w:rsidR="00B84743" w:rsidRP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2、与其他公司的</w:t>
      </w:r>
      <w:r w:rsidR="00F90DB8">
        <w:rPr>
          <w:rFonts w:ascii="宋体" w:hAnsi="宋体" w:hint="eastAsia"/>
          <w:sz w:val="28"/>
          <w:szCs w:val="28"/>
        </w:rPr>
        <w:t>共享</w:t>
      </w:r>
      <w:r>
        <w:rPr>
          <w:rFonts w:ascii="宋体" w:hAnsi="宋体" w:hint="eastAsia"/>
          <w:sz w:val="28"/>
          <w:szCs w:val="28"/>
        </w:rPr>
        <w:t>按摩椅公司相</w:t>
      </w:r>
      <w:r w:rsidRPr="00B84743">
        <w:rPr>
          <w:rFonts w:ascii="宋体" w:hAnsi="宋体" w:hint="eastAsia"/>
          <w:sz w:val="28"/>
          <w:szCs w:val="28"/>
        </w:rPr>
        <w:t>比，</w:t>
      </w:r>
      <w:r>
        <w:rPr>
          <w:rFonts w:ascii="宋体" w:hAnsi="宋体" w:hint="eastAsia"/>
          <w:sz w:val="28"/>
          <w:szCs w:val="28"/>
        </w:rPr>
        <w:t>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哒的</w:t>
      </w:r>
      <w:r w:rsidRPr="00B84743">
        <w:rPr>
          <w:rFonts w:ascii="宋体" w:hAnsi="宋体" w:hint="eastAsia"/>
          <w:sz w:val="28"/>
          <w:szCs w:val="28"/>
        </w:rPr>
        <w:t>优势和劣势？</w:t>
      </w:r>
    </w:p>
    <w:p w:rsidR="00B84743" w:rsidRP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背后有上市公司支持</w:t>
      </w:r>
      <w:r w:rsidR="00F90DB8">
        <w:rPr>
          <w:rFonts w:ascii="宋体" w:hAnsi="宋体" w:hint="eastAsia"/>
          <w:sz w:val="28"/>
          <w:szCs w:val="28"/>
        </w:rPr>
        <w:t>，</w:t>
      </w:r>
      <w:r w:rsidRPr="00B84743">
        <w:rPr>
          <w:rFonts w:ascii="宋体" w:hAnsi="宋体" w:hint="eastAsia"/>
          <w:sz w:val="28"/>
          <w:szCs w:val="28"/>
        </w:rPr>
        <w:t>产品品质更优越、维修率很低、稳定性很好，供货及时性更快。</w:t>
      </w:r>
      <w:r>
        <w:rPr>
          <w:rFonts w:ascii="宋体" w:hAnsi="宋体" w:hint="eastAsia"/>
          <w:sz w:val="28"/>
          <w:szCs w:val="28"/>
        </w:rPr>
        <w:t>有</w:t>
      </w:r>
      <w:r w:rsidRPr="00B84743">
        <w:rPr>
          <w:rFonts w:ascii="宋体" w:hAnsi="宋体" w:hint="eastAsia"/>
          <w:sz w:val="28"/>
          <w:szCs w:val="28"/>
        </w:rPr>
        <w:t>专门负责研发和运维</w:t>
      </w:r>
      <w:r>
        <w:rPr>
          <w:rFonts w:ascii="宋体" w:hAnsi="宋体" w:hint="eastAsia"/>
          <w:sz w:val="28"/>
          <w:szCs w:val="28"/>
        </w:rPr>
        <w:t>的团队</w:t>
      </w:r>
      <w:r w:rsidRPr="00B84743">
        <w:rPr>
          <w:rFonts w:ascii="宋体" w:hAnsi="宋体" w:hint="eastAsia"/>
          <w:sz w:val="28"/>
          <w:szCs w:val="28"/>
        </w:rPr>
        <w:t>，平台故障率低，能不断地试错。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劣势：速度上可能会较慢、</w:t>
      </w:r>
      <w:r>
        <w:rPr>
          <w:rFonts w:ascii="宋体" w:hAnsi="宋体" w:hint="eastAsia"/>
          <w:sz w:val="28"/>
          <w:szCs w:val="28"/>
        </w:rPr>
        <w:t>其他的</w:t>
      </w:r>
      <w:r w:rsidR="00F90DB8">
        <w:rPr>
          <w:rFonts w:ascii="宋体" w:hAnsi="宋体" w:hint="eastAsia"/>
          <w:sz w:val="28"/>
          <w:szCs w:val="28"/>
        </w:rPr>
        <w:t>共享</w:t>
      </w:r>
      <w:r>
        <w:rPr>
          <w:rFonts w:ascii="宋体" w:hAnsi="宋体" w:hint="eastAsia"/>
          <w:sz w:val="28"/>
          <w:szCs w:val="28"/>
        </w:rPr>
        <w:t>按摩椅</w:t>
      </w:r>
      <w:r w:rsidR="00F90DB8">
        <w:rPr>
          <w:rFonts w:ascii="宋体" w:hAnsi="宋体" w:hint="eastAsia"/>
          <w:sz w:val="28"/>
          <w:szCs w:val="28"/>
        </w:rPr>
        <w:t>品牌</w:t>
      </w:r>
      <w:r>
        <w:rPr>
          <w:rFonts w:ascii="宋体" w:hAnsi="宋体" w:hint="eastAsia"/>
          <w:sz w:val="28"/>
          <w:szCs w:val="28"/>
        </w:rPr>
        <w:t>可能会采用互联网思维追求速度</w:t>
      </w:r>
      <w:r w:rsidRPr="00B84743">
        <w:rPr>
          <w:rFonts w:ascii="宋体" w:hAnsi="宋体" w:hint="eastAsia"/>
          <w:sz w:val="28"/>
          <w:szCs w:val="28"/>
        </w:rPr>
        <w:t>。</w:t>
      </w:r>
    </w:p>
    <w:p w:rsidR="00B84743" w:rsidRP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3、公司按摩椅</w:t>
      </w:r>
      <w:r w:rsidRPr="00B84743">
        <w:rPr>
          <w:rFonts w:ascii="宋体" w:hAnsi="宋体" w:hint="eastAsia"/>
          <w:sz w:val="28"/>
          <w:szCs w:val="28"/>
        </w:rPr>
        <w:t>产品和互联网</w:t>
      </w:r>
      <w:r>
        <w:rPr>
          <w:rFonts w:ascii="宋体" w:hAnsi="宋体" w:hint="eastAsia"/>
          <w:sz w:val="28"/>
          <w:szCs w:val="28"/>
        </w:rPr>
        <w:t>上的小</w:t>
      </w:r>
      <w:r w:rsidRPr="00B84743">
        <w:rPr>
          <w:rFonts w:ascii="宋体" w:hAnsi="宋体" w:hint="eastAsia"/>
          <w:sz w:val="28"/>
          <w:szCs w:val="28"/>
        </w:rPr>
        <w:t>品牌</w:t>
      </w:r>
      <w:r>
        <w:rPr>
          <w:rFonts w:ascii="宋体" w:hAnsi="宋体" w:hint="eastAsia"/>
          <w:sz w:val="28"/>
          <w:szCs w:val="28"/>
        </w:rPr>
        <w:t>相</w:t>
      </w:r>
      <w:r w:rsidRPr="00B84743">
        <w:rPr>
          <w:rFonts w:ascii="宋体" w:hAnsi="宋体" w:hint="eastAsia"/>
          <w:sz w:val="28"/>
          <w:szCs w:val="28"/>
        </w:rPr>
        <w:t>比，品质体现在哪些方面？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产品外观辨识度高，做工更加精细；质量稳定性更好，产品使用寿命也更长。价格贵于互联网品牌，但是产品性价比也更高。功能完整性（智能控制，数据采集等功能）、按摩体验舒适、售后服务及时。</w:t>
      </w:r>
    </w:p>
    <w:p w:rsidR="00B84743" w:rsidRP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B84743">
        <w:rPr>
          <w:rFonts w:ascii="宋体" w:hAnsi="宋体" w:hint="eastAsia"/>
          <w:sz w:val="28"/>
          <w:szCs w:val="28"/>
        </w:rPr>
        <w:t>原材料价格上涨对公司的影响？公司如何应对？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与去年同期相比，毛利率略有下降。应对措施：通过技术提升减少原材料使用，降低成本；收入结构调整，高毛利业务占比提升。</w:t>
      </w:r>
    </w:p>
    <w:p w:rsidR="00B84743" w:rsidRP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5、</w:t>
      </w:r>
      <w:r w:rsidRPr="00B84743">
        <w:rPr>
          <w:rFonts w:ascii="宋体" w:hAnsi="宋体" w:hint="eastAsia"/>
          <w:sz w:val="28"/>
          <w:szCs w:val="28"/>
        </w:rPr>
        <w:t>汇兑损失？</w:t>
      </w:r>
    </w:p>
    <w:p w:rsidR="00B84743" w:rsidRDefault="00B84743" w:rsidP="00B84743">
      <w:pPr>
        <w:ind w:firstLine="570"/>
        <w:rPr>
          <w:rFonts w:ascii="宋体" w:hAnsi="宋体" w:hint="eastAsia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上半年损失接近两千万。</w:t>
      </w:r>
    </w:p>
    <w:p w:rsidR="00625319" w:rsidRPr="00625319" w:rsidRDefault="00625319" w:rsidP="00625319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Pr="00625319">
        <w:rPr>
          <w:rFonts w:ascii="宋体" w:hAnsi="宋体" w:hint="eastAsia"/>
          <w:sz w:val="28"/>
          <w:szCs w:val="28"/>
        </w:rPr>
        <w:t>股权支付摊销情况？</w:t>
      </w:r>
    </w:p>
    <w:p w:rsidR="00625319" w:rsidRPr="00B84743" w:rsidRDefault="00625319" w:rsidP="00625319">
      <w:pPr>
        <w:ind w:firstLine="570"/>
        <w:rPr>
          <w:rFonts w:ascii="宋体" w:hAnsi="宋体"/>
          <w:sz w:val="28"/>
          <w:szCs w:val="28"/>
        </w:rPr>
      </w:pPr>
      <w:r w:rsidRPr="00625319">
        <w:rPr>
          <w:rFonts w:ascii="宋体" w:hAnsi="宋体" w:hint="eastAsia"/>
          <w:sz w:val="28"/>
          <w:szCs w:val="28"/>
        </w:rPr>
        <w:t>股份支付摊销每个月200万，从今年5月份开始摊销。</w:t>
      </w:r>
    </w:p>
    <w:p w:rsidR="00B84743" w:rsidRPr="00B84743" w:rsidRDefault="00625319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B84743">
        <w:rPr>
          <w:rFonts w:ascii="宋体" w:hAnsi="宋体" w:hint="eastAsia"/>
          <w:sz w:val="28"/>
          <w:szCs w:val="28"/>
        </w:rPr>
        <w:t>、</w:t>
      </w:r>
      <w:r w:rsidR="00B84743" w:rsidRPr="00B84743">
        <w:rPr>
          <w:rFonts w:ascii="宋体" w:hAnsi="宋体" w:hint="eastAsia"/>
          <w:sz w:val="28"/>
          <w:szCs w:val="28"/>
        </w:rPr>
        <w:t>新的经销商拓展的数量？门店数量增加了多少？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经销商不多。</w:t>
      </w:r>
      <w:proofErr w:type="gramStart"/>
      <w:r w:rsidRPr="00B84743">
        <w:rPr>
          <w:rFonts w:ascii="宋体" w:hAnsi="宋体" w:hint="eastAsia"/>
          <w:sz w:val="28"/>
          <w:szCs w:val="28"/>
        </w:rPr>
        <w:t>一类门</w:t>
      </w:r>
      <w:proofErr w:type="gramEnd"/>
      <w:r w:rsidRPr="00B84743">
        <w:rPr>
          <w:rFonts w:ascii="宋体" w:hAnsi="宋体" w:hint="eastAsia"/>
          <w:sz w:val="28"/>
          <w:szCs w:val="28"/>
        </w:rPr>
        <w:t>店（如杭州万象城等）上半年开了78家，直营的大概10多家</w:t>
      </w:r>
      <w:r>
        <w:rPr>
          <w:rFonts w:ascii="宋体" w:hAnsi="宋体" w:hint="eastAsia"/>
          <w:sz w:val="28"/>
          <w:szCs w:val="28"/>
        </w:rPr>
        <w:t>。</w:t>
      </w:r>
      <w:r w:rsidRPr="00B84743">
        <w:rPr>
          <w:rFonts w:ascii="宋体" w:hAnsi="宋体" w:hint="eastAsia"/>
          <w:sz w:val="28"/>
          <w:szCs w:val="28"/>
        </w:rPr>
        <w:t>与之前相比，线下单店产出有所提高。</w:t>
      </w:r>
    </w:p>
    <w:p w:rsidR="00B84743" w:rsidRPr="00B84743" w:rsidRDefault="00625319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B84743">
        <w:rPr>
          <w:rFonts w:ascii="宋体" w:hAnsi="宋体" w:hint="eastAsia"/>
          <w:sz w:val="28"/>
          <w:szCs w:val="28"/>
        </w:rPr>
        <w:t>、</w:t>
      </w:r>
      <w:r w:rsidR="00B84743" w:rsidRPr="00B84743">
        <w:rPr>
          <w:rFonts w:ascii="宋体" w:hAnsi="宋体" w:hint="eastAsia"/>
          <w:sz w:val="28"/>
          <w:szCs w:val="28"/>
        </w:rPr>
        <w:t>直营，电商，经销三种渠道分别的毛利率水平？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电商和直营差</w:t>
      </w:r>
      <w:bookmarkStart w:id="0" w:name="_GoBack"/>
      <w:bookmarkEnd w:id="0"/>
      <w:r w:rsidRPr="00B84743">
        <w:rPr>
          <w:rFonts w:ascii="宋体" w:hAnsi="宋体" w:hint="eastAsia"/>
          <w:sz w:val="28"/>
          <w:szCs w:val="28"/>
        </w:rPr>
        <w:t>不多；</w:t>
      </w:r>
      <w:proofErr w:type="gramStart"/>
      <w:r w:rsidRPr="00B84743">
        <w:rPr>
          <w:rFonts w:ascii="宋体" w:hAnsi="宋体" w:hint="eastAsia"/>
          <w:sz w:val="28"/>
          <w:szCs w:val="28"/>
        </w:rPr>
        <w:t>经销低</w:t>
      </w:r>
      <w:proofErr w:type="gramEnd"/>
      <w:r w:rsidRPr="00B84743">
        <w:rPr>
          <w:rFonts w:ascii="宋体" w:hAnsi="宋体" w:hint="eastAsia"/>
          <w:sz w:val="28"/>
          <w:szCs w:val="28"/>
        </w:rPr>
        <w:t>一点。</w:t>
      </w:r>
    </w:p>
    <w:p w:rsidR="00B84743" w:rsidRPr="00B84743" w:rsidRDefault="00625319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B84743">
        <w:rPr>
          <w:rFonts w:ascii="宋体" w:hAnsi="宋体" w:hint="eastAsia"/>
          <w:sz w:val="28"/>
          <w:szCs w:val="28"/>
        </w:rPr>
        <w:t>、</w:t>
      </w:r>
      <w:r w:rsidR="00B84743" w:rsidRPr="00B84743">
        <w:rPr>
          <w:rFonts w:ascii="宋体" w:hAnsi="宋体" w:hint="eastAsia"/>
          <w:sz w:val="28"/>
          <w:szCs w:val="28"/>
        </w:rPr>
        <w:t>与影院、商场等合作，是否具有排他性？</w:t>
      </w:r>
    </w:p>
    <w:p w:rsidR="00B84743" w:rsidRPr="00B84743" w:rsidRDefault="00B84743" w:rsidP="00B84743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电影院的内厅和外厅，排他；商场铺设按摩椅，</w:t>
      </w:r>
      <w:proofErr w:type="gramStart"/>
      <w:r w:rsidRPr="00B84743">
        <w:rPr>
          <w:rFonts w:ascii="宋体" w:hAnsi="宋体" w:hint="eastAsia"/>
          <w:sz w:val="28"/>
          <w:szCs w:val="28"/>
        </w:rPr>
        <w:t>不</w:t>
      </w:r>
      <w:proofErr w:type="gramEnd"/>
      <w:r w:rsidRPr="00B84743">
        <w:rPr>
          <w:rFonts w:ascii="宋体" w:hAnsi="宋体" w:hint="eastAsia"/>
          <w:sz w:val="28"/>
          <w:szCs w:val="28"/>
        </w:rPr>
        <w:t>排他。</w:t>
      </w:r>
    </w:p>
    <w:p w:rsidR="00B84743" w:rsidRPr="00B84743" w:rsidRDefault="00625319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="00B84743">
        <w:rPr>
          <w:rFonts w:ascii="宋体" w:hAnsi="宋体" w:hint="eastAsia"/>
          <w:sz w:val="28"/>
          <w:szCs w:val="28"/>
        </w:rPr>
        <w:t>、</w:t>
      </w:r>
      <w:r w:rsidR="00B84743" w:rsidRPr="00B84743">
        <w:rPr>
          <w:rFonts w:ascii="宋体" w:hAnsi="宋体" w:hint="eastAsia"/>
          <w:sz w:val="28"/>
          <w:szCs w:val="28"/>
        </w:rPr>
        <w:t>摩</w:t>
      </w:r>
      <w:proofErr w:type="gramStart"/>
      <w:r w:rsidR="00B84743" w:rsidRPr="00B84743">
        <w:rPr>
          <w:rFonts w:ascii="宋体" w:hAnsi="宋体" w:hint="eastAsia"/>
          <w:sz w:val="28"/>
          <w:szCs w:val="28"/>
        </w:rPr>
        <w:t>摩</w:t>
      </w:r>
      <w:proofErr w:type="gramEnd"/>
      <w:r w:rsidR="00B84743" w:rsidRPr="00B84743">
        <w:rPr>
          <w:rFonts w:ascii="宋体" w:hAnsi="宋体" w:hint="eastAsia"/>
          <w:sz w:val="28"/>
          <w:szCs w:val="28"/>
        </w:rPr>
        <w:t>哒家用领域的发展规划？</w:t>
      </w:r>
    </w:p>
    <w:p w:rsidR="00B84743" w:rsidRPr="00B84743" w:rsidRDefault="00B84743" w:rsidP="00444C5E">
      <w:pPr>
        <w:ind w:firstLine="570"/>
        <w:rPr>
          <w:rFonts w:ascii="宋体" w:hAnsi="宋体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摩</w:t>
      </w:r>
      <w:proofErr w:type="gramStart"/>
      <w:r w:rsidRPr="00B84743">
        <w:rPr>
          <w:rFonts w:ascii="宋体" w:hAnsi="宋体" w:hint="eastAsia"/>
          <w:sz w:val="28"/>
          <w:szCs w:val="28"/>
        </w:rPr>
        <w:t>摩哒品牌</w:t>
      </w:r>
      <w:proofErr w:type="gramEnd"/>
      <w:r w:rsidRPr="00B84743">
        <w:rPr>
          <w:rFonts w:ascii="宋体" w:hAnsi="宋体" w:hint="eastAsia"/>
          <w:sz w:val="28"/>
          <w:szCs w:val="28"/>
        </w:rPr>
        <w:t>主要针对年轻消费群体，具有较高性价比，高端产品沿用荣泰品牌。摩</w:t>
      </w:r>
      <w:proofErr w:type="gramStart"/>
      <w:r w:rsidRPr="00B84743">
        <w:rPr>
          <w:rFonts w:ascii="宋体" w:hAnsi="宋体" w:hint="eastAsia"/>
          <w:sz w:val="28"/>
          <w:szCs w:val="28"/>
        </w:rPr>
        <w:t>摩哒有</w:t>
      </w:r>
      <w:proofErr w:type="gramEnd"/>
      <w:r w:rsidRPr="00B84743">
        <w:rPr>
          <w:rFonts w:ascii="宋体" w:hAnsi="宋体" w:hint="eastAsia"/>
          <w:sz w:val="28"/>
          <w:szCs w:val="28"/>
        </w:rPr>
        <w:t>五千多个点作为宣传，</w:t>
      </w:r>
      <w:proofErr w:type="gramStart"/>
      <w:r w:rsidRPr="00B84743">
        <w:rPr>
          <w:rFonts w:ascii="宋体" w:hAnsi="宋体" w:hint="eastAsia"/>
          <w:sz w:val="28"/>
          <w:szCs w:val="28"/>
        </w:rPr>
        <w:t>且品牌</w:t>
      </w:r>
      <w:proofErr w:type="gramEnd"/>
      <w:r w:rsidRPr="00B84743">
        <w:rPr>
          <w:rFonts w:ascii="宋体" w:hAnsi="宋体" w:hint="eastAsia"/>
          <w:sz w:val="28"/>
          <w:szCs w:val="28"/>
        </w:rPr>
        <w:t>符合年轻人思维方式，因此有市场空间。以后摩</w:t>
      </w:r>
      <w:proofErr w:type="gramStart"/>
      <w:r w:rsidRPr="00B84743">
        <w:rPr>
          <w:rFonts w:ascii="宋体" w:hAnsi="宋体" w:hint="eastAsia"/>
          <w:sz w:val="28"/>
          <w:szCs w:val="28"/>
        </w:rPr>
        <w:t>摩哒重点关注线</w:t>
      </w:r>
      <w:proofErr w:type="gramEnd"/>
      <w:r w:rsidRPr="00B84743">
        <w:rPr>
          <w:rFonts w:ascii="宋体" w:hAnsi="宋体" w:hint="eastAsia"/>
          <w:sz w:val="28"/>
          <w:szCs w:val="28"/>
        </w:rPr>
        <w:t>上渠道。</w:t>
      </w:r>
    </w:p>
    <w:p w:rsidR="00B84743" w:rsidRPr="00B84743" w:rsidRDefault="00444C5E" w:rsidP="00B84743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625319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="00B84743" w:rsidRPr="00B84743">
        <w:rPr>
          <w:rFonts w:ascii="宋体" w:hAnsi="宋体" w:hint="eastAsia"/>
          <w:sz w:val="28"/>
          <w:szCs w:val="28"/>
        </w:rPr>
        <w:t>影厅等地方后续的运营和维护是公司自己做吗？</w:t>
      </w:r>
    </w:p>
    <w:p w:rsidR="00B84743" w:rsidRPr="00B84743" w:rsidRDefault="00B84743" w:rsidP="00444C5E">
      <w:pPr>
        <w:ind w:firstLine="570"/>
        <w:rPr>
          <w:rFonts w:ascii="宋体" w:hAnsi="宋体" w:hint="eastAsia"/>
          <w:sz w:val="28"/>
          <w:szCs w:val="28"/>
        </w:rPr>
      </w:pPr>
      <w:r w:rsidRPr="00B84743">
        <w:rPr>
          <w:rFonts w:ascii="宋体" w:hAnsi="宋体" w:hint="eastAsia"/>
          <w:sz w:val="28"/>
          <w:szCs w:val="28"/>
        </w:rPr>
        <w:t>主要是第三方。运营服务是否能做好，主要取决于公司的管理。公司有</w:t>
      </w:r>
      <w:r w:rsidR="00444C5E">
        <w:rPr>
          <w:rFonts w:ascii="宋体" w:hAnsi="宋体" w:hint="eastAsia"/>
          <w:sz w:val="28"/>
          <w:szCs w:val="28"/>
        </w:rPr>
        <w:t>专门</w:t>
      </w:r>
      <w:r w:rsidRPr="00B84743">
        <w:rPr>
          <w:rFonts w:ascii="宋体" w:hAnsi="宋体" w:hint="eastAsia"/>
          <w:sz w:val="28"/>
          <w:szCs w:val="28"/>
        </w:rPr>
        <w:t>的研发团队，会对按摩椅的使用状况等进行监控。</w:t>
      </w:r>
    </w:p>
    <w:p w:rsidR="00B84743" w:rsidRPr="00B84743" w:rsidRDefault="00B84743" w:rsidP="00216DE7">
      <w:pPr>
        <w:ind w:firstLine="570"/>
        <w:rPr>
          <w:rFonts w:ascii="宋体" w:hAnsi="宋体"/>
          <w:sz w:val="28"/>
          <w:szCs w:val="28"/>
        </w:rPr>
      </w:pPr>
    </w:p>
    <w:sectPr w:rsidR="00B84743" w:rsidRPr="00B8474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A8" w:rsidRDefault="00B24AA8">
      <w:r>
        <w:separator/>
      </w:r>
    </w:p>
  </w:endnote>
  <w:endnote w:type="continuationSeparator" w:id="0">
    <w:p w:rsidR="00B24AA8" w:rsidRDefault="00B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0DB8" w:rsidRPr="00F90DB8">
      <w:rPr>
        <w:noProof/>
        <w:lang w:val="zh-CN"/>
      </w:rPr>
      <w:t>4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A8" w:rsidRDefault="00B24AA8">
      <w:r>
        <w:separator/>
      </w:r>
    </w:p>
  </w:footnote>
  <w:footnote w:type="continuationSeparator" w:id="0">
    <w:p w:rsidR="00B24AA8" w:rsidRDefault="00B2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5381"/>
    <w:rsid w:val="00044B14"/>
    <w:rsid w:val="0004798C"/>
    <w:rsid w:val="00051CF7"/>
    <w:rsid w:val="00052AF2"/>
    <w:rsid w:val="00053635"/>
    <w:rsid w:val="00066591"/>
    <w:rsid w:val="00067D00"/>
    <w:rsid w:val="00084525"/>
    <w:rsid w:val="00086361"/>
    <w:rsid w:val="000872EE"/>
    <w:rsid w:val="00093C59"/>
    <w:rsid w:val="000B039C"/>
    <w:rsid w:val="000C2C97"/>
    <w:rsid w:val="000E7DA8"/>
    <w:rsid w:val="00114C28"/>
    <w:rsid w:val="00116DC5"/>
    <w:rsid w:val="00117693"/>
    <w:rsid w:val="001176F9"/>
    <w:rsid w:val="00126523"/>
    <w:rsid w:val="001506DF"/>
    <w:rsid w:val="0015616E"/>
    <w:rsid w:val="001725C2"/>
    <w:rsid w:val="00182528"/>
    <w:rsid w:val="00186E38"/>
    <w:rsid w:val="001B7DD3"/>
    <w:rsid w:val="001D057A"/>
    <w:rsid w:val="001D2FF3"/>
    <w:rsid w:val="001E06E0"/>
    <w:rsid w:val="001E1807"/>
    <w:rsid w:val="001E3304"/>
    <w:rsid w:val="001F26C5"/>
    <w:rsid w:val="001F5E6F"/>
    <w:rsid w:val="00201242"/>
    <w:rsid w:val="0020591A"/>
    <w:rsid w:val="00212745"/>
    <w:rsid w:val="00216DE7"/>
    <w:rsid w:val="002333CC"/>
    <w:rsid w:val="00241DB1"/>
    <w:rsid w:val="00256079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911"/>
    <w:rsid w:val="002A513D"/>
    <w:rsid w:val="002C47CF"/>
    <w:rsid w:val="00300A01"/>
    <w:rsid w:val="00302AC0"/>
    <w:rsid w:val="00312A76"/>
    <w:rsid w:val="0032084C"/>
    <w:rsid w:val="00323231"/>
    <w:rsid w:val="0032340C"/>
    <w:rsid w:val="00330C43"/>
    <w:rsid w:val="0033664B"/>
    <w:rsid w:val="00355A68"/>
    <w:rsid w:val="00363403"/>
    <w:rsid w:val="00366EB3"/>
    <w:rsid w:val="0037655C"/>
    <w:rsid w:val="003806DA"/>
    <w:rsid w:val="00381A3C"/>
    <w:rsid w:val="0038790F"/>
    <w:rsid w:val="00395711"/>
    <w:rsid w:val="003C26AE"/>
    <w:rsid w:val="003C52D3"/>
    <w:rsid w:val="003E12C6"/>
    <w:rsid w:val="003E52CB"/>
    <w:rsid w:val="004042C4"/>
    <w:rsid w:val="00405038"/>
    <w:rsid w:val="00414380"/>
    <w:rsid w:val="004409DE"/>
    <w:rsid w:val="00442425"/>
    <w:rsid w:val="00444C5E"/>
    <w:rsid w:val="004475CD"/>
    <w:rsid w:val="004923AA"/>
    <w:rsid w:val="0049705C"/>
    <w:rsid w:val="004A35FC"/>
    <w:rsid w:val="004B3908"/>
    <w:rsid w:val="004B6F97"/>
    <w:rsid w:val="004B74D7"/>
    <w:rsid w:val="004B7D08"/>
    <w:rsid w:val="004C04ED"/>
    <w:rsid w:val="004C506A"/>
    <w:rsid w:val="004D31D7"/>
    <w:rsid w:val="004E680D"/>
    <w:rsid w:val="004E7B29"/>
    <w:rsid w:val="004F5D7A"/>
    <w:rsid w:val="004F7982"/>
    <w:rsid w:val="005028AF"/>
    <w:rsid w:val="005108BE"/>
    <w:rsid w:val="00522C52"/>
    <w:rsid w:val="00524622"/>
    <w:rsid w:val="0053563B"/>
    <w:rsid w:val="0054705D"/>
    <w:rsid w:val="00552B27"/>
    <w:rsid w:val="00552BD2"/>
    <w:rsid w:val="00563D84"/>
    <w:rsid w:val="00567557"/>
    <w:rsid w:val="00572D55"/>
    <w:rsid w:val="00573EF7"/>
    <w:rsid w:val="00581274"/>
    <w:rsid w:val="00593D7E"/>
    <w:rsid w:val="005B71EF"/>
    <w:rsid w:val="005E6E50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75B9C"/>
    <w:rsid w:val="00681918"/>
    <w:rsid w:val="00694A6C"/>
    <w:rsid w:val="006B1CF1"/>
    <w:rsid w:val="006C45A3"/>
    <w:rsid w:val="006E529C"/>
    <w:rsid w:val="0072603A"/>
    <w:rsid w:val="00727614"/>
    <w:rsid w:val="00731CC3"/>
    <w:rsid w:val="00743FB4"/>
    <w:rsid w:val="007452B4"/>
    <w:rsid w:val="00754F81"/>
    <w:rsid w:val="0076305E"/>
    <w:rsid w:val="00763B69"/>
    <w:rsid w:val="00774572"/>
    <w:rsid w:val="007778B1"/>
    <w:rsid w:val="00796207"/>
    <w:rsid w:val="00797B74"/>
    <w:rsid w:val="007A1538"/>
    <w:rsid w:val="007A298F"/>
    <w:rsid w:val="007E75C1"/>
    <w:rsid w:val="007F061C"/>
    <w:rsid w:val="007F2B2B"/>
    <w:rsid w:val="00806EC0"/>
    <w:rsid w:val="00815BA3"/>
    <w:rsid w:val="008407E3"/>
    <w:rsid w:val="008445FB"/>
    <w:rsid w:val="00865503"/>
    <w:rsid w:val="00870361"/>
    <w:rsid w:val="00877D87"/>
    <w:rsid w:val="008826B9"/>
    <w:rsid w:val="00885967"/>
    <w:rsid w:val="00890941"/>
    <w:rsid w:val="008937A8"/>
    <w:rsid w:val="008A50F5"/>
    <w:rsid w:val="008B7222"/>
    <w:rsid w:val="008F6B6B"/>
    <w:rsid w:val="00903483"/>
    <w:rsid w:val="00903739"/>
    <w:rsid w:val="00905F74"/>
    <w:rsid w:val="00906779"/>
    <w:rsid w:val="0091032C"/>
    <w:rsid w:val="009325D0"/>
    <w:rsid w:val="009409D7"/>
    <w:rsid w:val="00953613"/>
    <w:rsid w:val="00954BB9"/>
    <w:rsid w:val="00960D27"/>
    <w:rsid w:val="00963B7B"/>
    <w:rsid w:val="009649EE"/>
    <w:rsid w:val="00973146"/>
    <w:rsid w:val="00980512"/>
    <w:rsid w:val="0098382B"/>
    <w:rsid w:val="0098532B"/>
    <w:rsid w:val="009B2595"/>
    <w:rsid w:val="009B7D32"/>
    <w:rsid w:val="009C0134"/>
    <w:rsid w:val="009C4858"/>
    <w:rsid w:val="009E0E2D"/>
    <w:rsid w:val="009E28A0"/>
    <w:rsid w:val="009E4725"/>
    <w:rsid w:val="00A01800"/>
    <w:rsid w:val="00A1645B"/>
    <w:rsid w:val="00A221CC"/>
    <w:rsid w:val="00A83978"/>
    <w:rsid w:val="00A867CC"/>
    <w:rsid w:val="00A96359"/>
    <w:rsid w:val="00AB13EC"/>
    <w:rsid w:val="00AB2C7F"/>
    <w:rsid w:val="00AD0DA2"/>
    <w:rsid w:val="00AE1D4B"/>
    <w:rsid w:val="00B03491"/>
    <w:rsid w:val="00B12841"/>
    <w:rsid w:val="00B17A55"/>
    <w:rsid w:val="00B24AA8"/>
    <w:rsid w:val="00B84743"/>
    <w:rsid w:val="00B85F13"/>
    <w:rsid w:val="00BA3738"/>
    <w:rsid w:val="00BB055B"/>
    <w:rsid w:val="00BB14B8"/>
    <w:rsid w:val="00BD2AE6"/>
    <w:rsid w:val="00BE59CF"/>
    <w:rsid w:val="00BF49C9"/>
    <w:rsid w:val="00BF5682"/>
    <w:rsid w:val="00C3644C"/>
    <w:rsid w:val="00C4562B"/>
    <w:rsid w:val="00C52E42"/>
    <w:rsid w:val="00C5406D"/>
    <w:rsid w:val="00C771FD"/>
    <w:rsid w:val="00C83B8A"/>
    <w:rsid w:val="00C85647"/>
    <w:rsid w:val="00C8743F"/>
    <w:rsid w:val="00CA1290"/>
    <w:rsid w:val="00CA1C17"/>
    <w:rsid w:val="00CA7733"/>
    <w:rsid w:val="00CB1853"/>
    <w:rsid w:val="00CB25D3"/>
    <w:rsid w:val="00CB6763"/>
    <w:rsid w:val="00CC315B"/>
    <w:rsid w:val="00D1092D"/>
    <w:rsid w:val="00D12961"/>
    <w:rsid w:val="00D24858"/>
    <w:rsid w:val="00D253F6"/>
    <w:rsid w:val="00D33234"/>
    <w:rsid w:val="00D57EC3"/>
    <w:rsid w:val="00D66E77"/>
    <w:rsid w:val="00D75914"/>
    <w:rsid w:val="00D9479C"/>
    <w:rsid w:val="00DB2E48"/>
    <w:rsid w:val="00DB6A5E"/>
    <w:rsid w:val="00DC1E83"/>
    <w:rsid w:val="00DD0E76"/>
    <w:rsid w:val="00DD2B70"/>
    <w:rsid w:val="00DF6D3A"/>
    <w:rsid w:val="00E549A0"/>
    <w:rsid w:val="00E55714"/>
    <w:rsid w:val="00E60902"/>
    <w:rsid w:val="00E6586C"/>
    <w:rsid w:val="00EB3821"/>
    <w:rsid w:val="00EB4573"/>
    <w:rsid w:val="00EC4862"/>
    <w:rsid w:val="00EE7B56"/>
    <w:rsid w:val="00F019A5"/>
    <w:rsid w:val="00F12624"/>
    <w:rsid w:val="00F25C3C"/>
    <w:rsid w:val="00F3095D"/>
    <w:rsid w:val="00F44BA3"/>
    <w:rsid w:val="00F46F33"/>
    <w:rsid w:val="00F56ED9"/>
    <w:rsid w:val="00F63D50"/>
    <w:rsid w:val="00F7786C"/>
    <w:rsid w:val="00F90DB8"/>
    <w:rsid w:val="00F92E54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17CC"/>
    <w:rsid w:val="00FF0F3F"/>
    <w:rsid w:val="00FF2CFE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rt</cp:lastModifiedBy>
  <cp:revision>172</cp:revision>
  <dcterms:created xsi:type="dcterms:W3CDTF">2017-04-27T22:03:00Z</dcterms:created>
  <dcterms:modified xsi:type="dcterms:W3CDTF">2017-09-14T01:40:00Z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