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44" w:rsidRPr="00DA1244" w:rsidRDefault="00DA1244">
      <w:pPr>
        <w:spacing w:beforeLines="50" w:before="156" w:afterLines="50" w:after="156" w:line="400" w:lineRule="exact"/>
        <w:jc w:val="center"/>
        <w:rPr>
          <w:rFonts w:ascii="宋体" w:hAnsi="宋体"/>
          <w:b/>
          <w:bCs/>
          <w:iCs/>
          <w:color w:val="FF0000"/>
          <w:sz w:val="28"/>
          <w:szCs w:val="24"/>
        </w:rPr>
      </w:pPr>
      <w:r w:rsidRPr="00DA1244">
        <w:rPr>
          <w:rFonts w:ascii="宋体" w:hAnsi="宋体" w:hint="eastAsia"/>
          <w:b/>
          <w:bCs/>
          <w:iCs/>
          <w:color w:val="FF0000"/>
          <w:sz w:val="28"/>
          <w:szCs w:val="24"/>
        </w:rPr>
        <w:t>广东原尚</w:t>
      </w:r>
      <w:r w:rsidRPr="00DA1244">
        <w:rPr>
          <w:rFonts w:ascii="宋体" w:hAnsi="宋体"/>
          <w:b/>
          <w:bCs/>
          <w:iCs/>
          <w:color w:val="FF0000"/>
          <w:sz w:val="28"/>
          <w:szCs w:val="24"/>
        </w:rPr>
        <w:t>物流股份有限公司</w:t>
      </w:r>
    </w:p>
    <w:p w:rsidR="00E0677D" w:rsidRPr="00DA1244" w:rsidRDefault="007E334D">
      <w:pPr>
        <w:spacing w:beforeLines="50" w:before="156" w:afterLines="50" w:after="156" w:line="400" w:lineRule="exact"/>
        <w:jc w:val="center"/>
        <w:rPr>
          <w:rFonts w:ascii="宋体" w:hAnsi="宋体"/>
          <w:b/>
          <w:bCs/>
          <w:iCs/>
          <w:color w:val="FF0000"/>
          <w:sz w:val="28"/>
          <w:szCs w:val="24"/>
        </w:rPr>
      </w:pPr>
      <w:r w:rsidRPr="00DA1244">
        <w:rPr>
          <w:rFonts w:ascii="宋体" w:hAnsi="宋体" w:hint="eastAsia"/>
          <w:b/>
          <w:bCs/>
          <w:iCs/>
          <w:color w:val="FF0000"/>
          <w:sz w:val="28"/>
          <w:szCs w:val="24"/>
        </w:rPr>
        <w:t>投资者关系活动记录表</w:t>
      </w:r>
    </w:p>
    <w:p w:rsidR="00E0677D" w:rsidRDefault="007E334D">
      <w:pPr>
        <w:spacing w:line="400" w:lineRule="exact"/>
        <w:rPr>
          <w:rFonts w:ascii="宋体" w:hAnsi="宋体"/>
          <w:bCs/>
          <w:iCs/>
          <w:sz w:val="24"/>
          <w:szCs w:val="24"/>
        </w:rPr>
      </w:pPr>
      <w:r>
        <w:rPr>
          <w:rFonts w:ascii="宋体" w:hAnsi="宋体" w:hint="eastAsia"/>
          <w:bCs/>
          <w:iCs/>
          <w:sz w:val="24"/>
          <w:szCs w:val="24"/>
        </w:rPr>
        <w:t xml:space="preserve">                   </w:t>
      </w:r>
      <w:r w:rsidR="00FC29B2">
        <w:rPr>
          <w:rFonts w:ascii="宋体" w:hAnsi="宋体" w:hint="eastAsia"/>
          <w:bCs/>
          <w:iCs/>
          <w:sz w:val="24"/>
          <w:szCs w:val="24"/>
        </w:rPr>
        <w:t xml:space="preserve">                           </w:t>
      </w:r>
      <w:r>
        <w:rPr>
          <w:rFonts w:ascii="宋体" w:hAnsi="宋体" w:hint="eastAsia"/>
          <w:bCs/>
          <w:iCs/>
          <w:sz w:val="24"/>
          <w:szCs w:val="24"/>
        </w:rPr>
        <w:t>编号：</w:t>
      </w:r>
      <w:r w:rsidR="00FC29B2">
        <w:rPr>
          <w:rFonts w:ascii="宋体" w:hAnsi="宋体" w:hint="eastAsia"/>
          <w:bCs/>
          <w:iCs/>
          <w:sz w:val="24"/>
          <w:szCs w:val="24"/>
        </w:rPr>
        <w:t>GS</w:t>
      </w:r>
      <w:r w:rsidR="00FC29B2">
        <w:rPr>
          <w:rFonts w:ascii="宋体" w:hAnsi="宋体"/>
          <w:bCs/>
          <w:iCs/>
          <w:sz w:val="24"/>
          <w:szCs w:val="24"/>
        </w:rPr>
        <w:t>L</w:t>
      </w:r>
      <w:r w:rsidR="007D371E">
        <w:rPr>
          <w:rFonts w:ascii="宋体" w:hAnsi="宋体" w:hint="eastAsia"/>
          <w:bCs/>
          <w:iCs/>
          <w:sz w:val="24"/>
          <w:szCs w:val="24"/>
        </w:rPr>
        <w:t>2017</w:t>
      </w:r>
      <w:r w:rsidR="007D371E">
        <w:rPr>
          <w:rFonts w:ascii="宋体" w:hAnsi="宋体"/>
          <w:bCs/>
          <w:iCs/>
          <w:sz w:val="24"/>
          <w:szCs w:val="24"/>
        </w:rPr>
        <w:t>-00</w:t>
      </w:r>
      <w:r w:rsidR="00F13E46">
        <w:rPr>
          <w:rFonts w:ascii="宋体" w:hAnsi="宋体"/>
          <w:bCs/>
          <w:iCs/>
          <w:sz w:val="24"/>
          <w:szCs w:val="24"/>
        </w:rPr>
        <w:t>2</w:t>
      </w: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943"/>
      </w:tblGrid>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投资者关系活动类别</w:t>
            </w:r>
          </w:p>
          <w:p w:rsidR="00E0677D" w:rsidRDefault="00E0677D">
            <w:pPr>
              <w:spacing w:line="480" w:lineRule="atLeast"/>
              <w:rPr>
                <w:rFonts w:ascii="宋体" w:hAnsi="宋体"/>
                <w:b/>
                <w:bCs/>
                <w:iCs/>
                <w:sz w:val="24"/>
                <w:szCs w:val="24"/>
              </w:rPr>
            </w:pPr>
          </w:p>
        </w:tc>
        <w:tc>
          <w:tcPr>
            <w:tcW w:w="5943" w:type="dxa"/>
            <w:shd w:val="clear" w:color="auto" w:fill="auto"/>
          </w:tcPr>
          <w:p w:rsidR="00E0677D" w:rsidRDefault="007E334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bookmarkStart w:id="0" w:name="_GoBack"/>
            <w:bookmarkEnd w:id="0"/>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分析师会议</w:t>
            </w:r>
          </w:p>
          <w:p w:rsidR="00E0677D" w:rsidRDefault="007E334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E0677D" w:rsidRDefault="007E334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E0677D" w:rsidRDefault="007E334D">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E0677D" w:rsidRDefault="007E334D">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5943" w:type="dxa"/>
            <w:shd w:val="clear" w:color="auto" w:fill="auto"/>
          </w:tcPr>
          <w:p w:rsidR="00E0677D" w:rsidRDefault="00F13E46" w:rsidP="00947DE7">
            <w:pPr>
              <w:spacing w:line="480" w:lineRule="atLeast"/>
              <w:rPr>
                <w:rFonts w:hint="eastAsia"/>
              </w:rPr>
            </w:pPr>
            <w:r>
              <w:rPr>
                <w:rFonts w:ascii="宋体" w:hAnsi="宋体" w:hint="eastAsia"/>
                <w:sz w:val="24"/>
                <w:szCs w:val="24"/>
              </w:rPr>
              <w:t>华创证券</w:t>
            </w:r>
            <w:r>
              <w:rPr>
                <w:rFonts w:ascii="宋体" w:hAnsi="宋体"/>
                <w:sz w:val="24"/>
                <w:szCs w:val="24"/>
              </w:rPr>
              <w:t>肖祎</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时间</w:t>
            </w:r>
          </w:p>
        </w:tc>
        <w:tc>
          <w:tcPr>
            <w:tcW w:w="5943" w:type="dxa"/>
            <w:shd w:val="clear" w:color="auto" w:fill="auto"/>
          </w:tcPr>
          <w:p w:rsidR="00E0677D" w:rsidRDefault="00DA1244" w:rsidP="00F13E46">
            <w:pPr>
              <w:spacing w:line="480" w:lineRule="atLeast"/>
              <w:rPr>
                <w:rFonts w:ascii="宋体" w:hAnsi="宋体" w:hint="eastAsia"/>
                <w:bCs/>
                <w:iCs/>
                <w:sz w:val="24"/>
                <w:szCs w:val="24"/>
              </w:rPr>
            </w:pPr>
            <w:r>
              <w:rPr>
                <w:rFonts w:ascii="宋体" w:hAnsi="宋体" w:hint="eastAsia"/>
                <w:bCs/>
                <w:iCs/>
                <w:sz w:val="24"/>
                <w:szCs w:val="24"/>
              </w:rPr>
              <w:t>2017年11月</w:t>
            </w:r>
            <w:r w:rsidR="00F13E46">
              <w:rPr>
                <w:rFonts w:ascii="宋体" w:hAnsi="宋体"/>
                <w:bCs/>
                <w:iCs/>
                <w:sz w:val="24"/>
                <w:szCs w:val="24"/>
              </w:rPr>
              <w:t>08</w:t>
            </w:r>
            <w:r>
              <w:rPr>
                <w:rFonts w:ascii="宋体" w:hAnsi="宋体" w:hint="eastAsia"/>
                <w:bCs/>
                <w:iCs/>
                <w:sz w:val="24"/>
                <w:szCs w:val="24"/>
              </w:rPr>
              <w:t>日</w:t>
            </w:r>
            <w:r>
              <w:rPr>
                <w:rFonts w:ascii="宋体" w:hAnsi="宋体"/>
                <w:bCs/>
                <w:iCs/>
                <w:sz w:val="24"/>
                <w:szCs w:val="24"/>
              </w:rPr>
              <w:t>下午</w:t>
            </w:r>
            <w:r w:rsidR="00F13E46">
              <w:rPr>
                <w:rFonts w:ascii="宋体" w:hAnsi="宋体"/>
                <w:bCs/>
                <w:iCs/>
                <w:sz w:val="24"/>
                <w:szCs w:val="24"/>
              </w:rPr>
              <w:t>10</w:t>
            </w:r>
            <w:r>
              <w:rPr>
                <w:rFonts w:ascii="宋体" w:hAnsi="宋体" w:hint="eastAsia"/>
                <w:bCs/>
                <w:iCs/>
                <w:sz w:val="24"/>
                <w:szCs w:val="24"/>
              </w:rPr>
              <w:t>:00</w:t>
            </w:r>
            <w:r w:rsidR="00947DE7">
              <w:rPr>
                <w:rFonts w:ascii="宋体" w:hAnsi="宋体"/>
                <w:bCs/>
                <w:iCs/>
                <w:sz w:val="24"/>
                <w:szCs w:val="24"/>
              </w:rPr>
              <w:t>-1</w:t>
            </w:r>
            <w:r w:rsidR="00F13E46">
              <w:rPr>
                <w:rFonts w:ascii="宋体" w:hAnsi="宋体"/>
                <w:bCs/>
                <w:iCs/>
                <w:sz w:val="24"/>
                <w:szCs w:val="24"/>
              </w:rPr>
              <w:t>2</w:t>
            </w:r>
            <w:r w:rsidR="00F13E46">
              <w:rPr>
                <w:rFonts w:ascii="宋体" w:hAnsi="宋体" w:hint="eastAsia"/>
                <w:bCs/>
                <w:iCs/>
                <w:sz w:val="24"/>
                <w:szCs w:val="24"/>
              </w:rPr>
              <w:t>:30</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地点</w:t>
            </w:r>
          </w:p>
        </w:tc>
        <w:tc>
          <w:tcPr>
            <w:tcW w:w="5943" w:type="dxa"/>
            <w:shd w:val="clear" w:color="auto" w:fill="auto"/>
          </w:tcPr>
          <w:p w:rsidR="00E0677D" w:rsidRDefault="00DA1244">
            <w:pPr>
              <w:spacing w:line="480" w:lineRule="atLeast"/>
              <w:rPr>
                <w:rFonts w:ascii="宋体" w:hAnsi="宋体"/>
                <w:bCs/>
                <w:iCs/>
                <w:sz w:val="24"/>
                <w:szCs w:val="24"/>
              </w:rPr>
            </w:pPr>
            <w:r>
              <w:rPr>
                <w:rFonts w:ascii="宋体" w:hAnsi="宋体" w:hint="eastAsia"/>
                <w:bCs/>
                <w:iCs/>
                <w:sz w:val="24"/>
                <w:szCs w:val="24"/>
              </w:rPr>
              <w:t>广州市</w:t>
            </w:r>
            <w:r>
              <w:rPr>
                <w:rFonts w:ascii="宋体" w:hAnsi="宋体"/>
                <w:bCs/>
                <w:iCs/>
                <w:sz w:val="24"/>
                <w:szCs w:val="24"/>
              </w:rPr>
              <w:t>增城区</w:t>
            </w:r>
            <w:r>
              <w:rPr>
                <w:rFonts w:ascii="宋体" w:hAnsi="宋体" w:hint="eastAsia"/>
                <w:bCs/>
                <w:iCs/>
                <w:sz w:val="24"/>
                <w:szCs w:val="24"/>
              </w:rPr>
              <w:t>永宁</w:t>
            </w:r>
            <w:proofErr w:type="gramStart"/>
            <w:r>
              <w:rPr>
                <w:rFonts w:ascii="宋体" w:hAnsi="宋体" w:hint="eastAsia"/>
                <w:bCs/>
                <w:iCs/>
                <w:sz w:val="24"/>
                <w:szCs w:val="24"/>
              </w:rPr>
              <w:t>街</w:t>
            </w:r>
            <w:r>
              <w:rPr>
                <w:rFonts w:ascii="宋体" w:hAnsi="宋体"/>
                <w:bCs/>
                <w:iCs/>
                <w:sz w:val="24"/>
                <w:szCs w:val="24"/>
              </w:rPr>
              <w:t>创业</w:t>
            </w:r>
            <w:proofErr w:type="gramEnd"/>
            <w:r>
              <w:rPr>
                <w:rFonts w:ascii="宋体" w:hAnsi="宋体"/>
                <w:bCs/>
                <w:iCs/>
                <w:sz w:val="24"/>
                <w:szCs w:val="24"/>
              </w:rPr>
              <w:t>大道</w:t>
            </w:r>
            <w:r>
              <w:rPr>
                <w:rFonts w:ascii="宋体" w:hAnsi="宋体" w:hint="eastAsia"/>
                <w:bCs/>
                <w:iCs/>
                <w:sz w:val="24"/>
                <w:szCs w:val="24"/>
              </w:rPr>
              <w:t>128号</w:t>
            </w:r>
            <w:r>
              <w:rPr>
                <w:rFonts w:ascii="宋体" w:hAnsi="宋体"/>
                <w:bCs/>
                <w:iCs/>
                <w:sz w:val="24"/>
                <w:szCs w:val="24"/>
              </w:rPr>
              <w:t>公司</w:t>
            </w:r>
            <w:r>
              <w:rPr>
                <w:rFonts w:ascii="宋体" w:hAnsi="宋体" w:hint="eastAsia"/>
                <w:bCs/>
                <w:iCs/>
                <w:sz w:val="24"/>
                <w:szCs w:val="24"/>
              </w:rPr>
              <w:t>二楼</w:t>
            </w:r>
            <w:r>
              <w:rPr>
                <w:rFonts w:ascii="宋体" w:hAnsi="宋体"/>
                <w:bCs/>
                <w:iCs/>
                <w:sz w:val="24"/>
                <w:szCs w:val="24"/>
              </w:rPr>
              <w:t>会议室</w:t>
            </w:r>
          </w:p>
        </w:tc>
      </w:tr>
      <w:tr w:rsidR="00E0677D" w:rsidTr="00947DE7">
        <w:trPr>
          <w:jc w:val="center"/>
        </w:trPr>
        <w:tc>
          <w:tcPr>
            <w:tcW w:w="1730" w:type="dxa"/>
            <w:shd w:val="clear" w:color="auto" w:fill="auto"/>
          </w:tcPr>
          <w:p w:rsidR="00E0677D" w:rsidRDefault="007E334D">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5943" w:type="dxa"/>
            <w:shd w:val="clear" w:color="auto" w:fill="auto"/>
          </w:tcPr>
          <w:p w:rsidR="00E0677D" w:rsidRDefault="002D1265" w:rsidP="00F13E46">
            <w:pPr>
              <w:spacing w:line="480" w:lineRule="atLeast"/>
              <w:rPr>
                <w:rFonts w:ascii="宋体" w:hAnsi="宋体"/>
                <w:bCs/>
                <w:iCs/>
                <w:sz w:val="24"/>
                <w:szCs w:val="24"/>
              </w:rPr>
            </w:pPr>
            <w:r>
              <w:rPr>
                <w:rFonts w:ascii="宋体" w:hAnsi="宋体"/>
                <w:bCs/>
                <w:iCs/>
                <w:sz w:val="24"/>
                <w:szCs w:val="24"/>
              </w:rPr>
              <w:t>财务总监</w:t>
            </w:r>
            <w:r>
              <w:rPr>
                <w:rFonts w:ascii="宋体" w:hAnsi="宋体" w:hint="eastAsia"/>
                <w:bCs/>
                <w:iCs/>
                <w:sz w:val="24"/>
                <w:szCs w:val="24"/>
              </w:rPr>
              <w:t>、</w:t>
            </w:r>
            <w:proofErr w:type="gramStart"/>
            <w:r w:rsidR="00DA1244">
              <w:rPr>
                <w:rFonts w:ascii="宋体" w:hAnsi="宋体" w:hint="eastAsia"/>
                <w:bCs/>
                <w:iCs/>
                <w:sz w:val="24"/>
                <w:szCs w:val="24"/>
              </w:rPr>
              <w:t>副总</w:t>
            </w:r>
            <w:r w:rsidR="00DA1244">
              <w:rPr>
                <w:rFonts w:ascii="宋体" w:hAnsi="宋体"/>
                <w:bCs/>
                <w:iCs/>
                <w:sz w:val="24"/>
                <w:szCs w:val="24"/>
              </w:rPr>
              <w:t>兼</w:t>
            </w:r>
            <w:proofErr w:type="gramEnd"/>
            <w:r w:rsidR="00DA1244">
              <w:rPr>
                <w:rFonts w:ascii="宋体" w:hAnsi="宋体" w:hint="eastAsia"/>
                <w:bCs/>
                <w:iCs/>
                <w:sz w:val="24"/>
                <w:szCs w:val="24"/>
              </w:rPr>
              <w:t>董事会</w:t>
            </w:r>
            <w:r w:rsidR="00DA1244">
              <w:rPr>
                <w:rFonts w:ascii="宋体" w:hAnsi="宋体"/>
                <w:bCs/>
                <w:iCs/>
                <w:sz w:val="24"/>
                <w:szCs w:val="24"/>
              </w:rPr>
              <w:t>秘书李运</w:t>
            </w:r>
          </w:p>
        </w:tc>
      </w:tr>
      <w:tr w:rsidR="00E0677D" w:rsidTr="00947DE7">
        <w:trPr>
          <w:trHeight w:val="1757"/>
          <w:jc w:val="center"/>
        </w:trPr>
        <w:tc>
          <w:tcPr>
            <w:tcW w:w="1730" w:type="dxa"/>
            <w:shd w:val="clear" w:color="auto" w:fill="auto"/>
            <w:vAlign w:val="center"/>
          </w:tcPr>
          <w:p w:rsidR="00E0677D" w:rsidRDefault="007E334D">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E0677D" w:rsidRDefault="00E0677D">
            <w:pPr>
              <w:spacing w:line="480" w:lineRule="atLeast"/>
              <w:rPr>
                <w:rFonts w:ascii="宋体" w:hAnsi="宋体"/>
                <w:b/>
                <w:bCs/>
                <w:iCs/>
                <w:sz w:val="24"/>
                <w:szCs w:val="24"/>
              </w:rPr>
            </w:pPr>
          </w:p>
        </w:tc>
        <w:tc>
          <w:tcPr>
            <w:tcW w:w="5943" w:type="dxa"/>
            <w:shd w:val="clear" w:color="auto" w:fill="auto"/>
          </w:tcPr>
          <w:p w:rsidR="00465489" w:rsidRPr="00947DE7" w:rsidRDefault="00DA1244" w:rsidP="00947DE7">
            <w:pPr>
              <w:pStyle w:val="a6"/>
              <w:numPr>
                <w:ilvl w:val="0"/>
                <w:numId w:val="4"/>
              </w:numPr>
              <w:tabs>
                <w:tab w:val="left" w:pos="1296"/>
              </w:tabs>
              <w:spacing w:line="360" w:lineRule="auto"/>
              <w:ind w:firstLineChars="0"/>
              <w:rPr>
                <w:rFonts w:asciiTheme="majorEastAsia" w:eastAsiaTheme="majorEastAsia" w:hAnsiTheme="majorEastAsia" w:cs="Arial"/>
                <w:b/>
                <w:kern w:val="0"/>
                <w:sz w:val="22"/>
                <w:szCs w:val="21"/>
              </w:rPr>
            </w:pPr>
            <w:r w:rsidRPr="00947DE7">
              <w:rPr>
                <w:rFonts w:asciiTheme="majorEastAsia" w:eastAsiaTheme="majorEastAsia" w:hAnsiTheme="majorEastAsia" w:cs="Arial"/>
                <w:b/>
                <w:kern w:val="0"/>
                <w:sz w:val="22"/>
                <w:szCs w:val="21"/>
              </w:rPr>
              <w:t>公司</w:t>
            </w:r>
            <w:r w:rsidRPr="00947DE7">
              <w:rPr>
                <w:rFonts w:asciiTheme="majorEastAsia" w:eastAsiaTheme="majorEastAsia" w:hAnsiTheme="majorEastAsia" w:cs="Arial" w:hint="eastAsia"/>
                <w:b/>
                <w:kern w:val="0"/>
                <w:sz w:val="22"/>
                <w:szCs w:val="21"/>
              </w:rPr>
              <w:t>李运李总介绍</w:t>
            </w:r>
            <w:r w:rsidRPr="00947DE7">
              <w:rPr>
                <w:rFonts w:asciiTheme="majorEastAsia" w:eastAsiaTheme="majorEastAsia" w:hAnsiTheme="majorEastAsia" w:cs="Arial"/>
                <w:b/>
                <w:kern w:val="0"/>
                <w:sz w:val="22"/>
                <w:szCs w:val="21"/>
              </w:rPr>
              <w:t>公司</w:t>
            </w:r>
            <w:r w:rsidRPr="00947DE7">
              <w:rPr>
                <w:rFonts w:asciiTheme="majorEastAsia" w:eastAsiaTheme="majorEastAsia" w:hAnsiTheme="majorEastAsia" w:cs="Arial" w:hint="eastAsia"/>
                <w:b/>
                <w:kern w:val="0"/>
                <w:sz w:val="22"/>
                <w:szCs w:val="21"/>
              </w:rPr>
              <w:t>基本</w:t>
            </w:r>
            <w:r w:rsidR="00947DE7" w:rsidRPr="00947DE7">
              <w:rPr>
                <w:rFonts w:asciiTheme="majorEastAsia" w:eastAsiaTheme="majorEastAsia" w:hAnsiTheme="majorEastAsia" w:cs="Arial" w:hint="eastAsia"/>
                <w:b/>
                <w:kern w:val="0"/>
                <w:sz w:val="22"/>
                <w:szCs w:val="21"/>
              </w:rPr>
              <w:t>情况</w:t>
            </w:r>
          </w:p>
          <w:p w:rsidR="00DA1244" w:rsidRPr="00947DE7" w:rsidRDefault="00DA1244" w:rsidP="00DA1244">
            <w:pPr>
              <w:widowControl/>
              <w:jc w:val="left"/>
              <w:rPr>
                <w:rFonts w:asciiTheme="majorEastAsia" w:eastAsiaTheme="majorEastAsia" w:hAnsiTheme="majorEastAsia" w:cs="Arial"/>
                <w:b/>
                <w:kern w:val="0"/>
                <w:sz w:val="22"/>
                <w:szCs w:val="21"/>
              </w:rPr>
            </w:pPr>
            <w:r w:rsidRPr="00947DE7">
              <w:rPr>
                <w:rFonts w:asciiTheme="majorEastAsia" w:eastAsiaTheme="majorEastAsia" w:hAnsiTheme="majorEastAsia" w:cs="Arial" w:hint="eastAsia"/>
                <w:b/>
                <w:kern w:val="0"/>
                <w:sz w:val="22"/>
                <w:szCs w:val="21"/>
              </w:rPr>
              <w:t>二</w:t>
            </w:r>
            <w:r w:rsidRPr="00947DE7">
              <w:rPr>
                <w:rFonts w:asciiTheme="majorEastAsia" w:eastAsiaTheme="majorEastAsia" w:hAnsiTheme="majorEastAsia" w:cs="Arial"/>
                <w:b/>
                <w:kern w:val="0"/>
                <w:sz w:val="22"/>
                <w:szCs w:val="21"/>
              </w:rPr>
              <w:t>、投资者交流环节</w:t>
            </w:r>
          </w:p>
          <w:p w:rsidR="00F13E46" w:rsidRPr="00F13E46" w:rsidRDefault="00F13E46" w:rsidP="00F13E46">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汽车零部件物流市场发展空间。</w:t>
            </w:r>
          </w:p>
          <w:p w:rsidR="00F13E46" w:rsidRPr="00F13E46" w:rsidRDefault="00F13E46" w:rsidP="00F13E46">
            <w:pPr>
              <w:pStyle w:val="a8"/>
              <w:spacing w:before="156" w:after="156"/>
              <w:ind w:leftChars="200" w:left="420" w:firstLineChars="0" w:firstLine="0"/>
              <w:rPr>
                <w:rFonts w:asciiTheme="majorEastAsia" w:eastAsiaTheme="majorEastAsia" w:hAnsiTheme="majorEastAsia" w:cs="Arial"/>
                <w:b/>
                <w:sz w:val="22"/>
                <w:szCs w:val="21"/>
              </w:rPr>
            </w:pPr>
            <w:r w:rsidRPr="00F13E46">
              <w:rPr>
                <w:rFonts w:asciiTheme="majorEastAsia" w:eastAsiaTheme="majorEastAsia" w:hAnsiTheme="majorEastAsia" w:cs="Arial" w:hint="eastAsia"/>
                <w:b/>
                <w:sz w:val="22"/>
                <w:szCs w:val="21"/>
              </w:rPr>
              <w:t>回复</w:t>
            </w:r>
            <w:r w:rsidRPr="00F13E46">
              <w:rPr>
                <w:rFonts w:asciiTheme="majorEastAsia" w:eastAsiaTheme="majorEastAsia" w:hAnsiTheme="majorEastAsia" w:cs="Arial"/>
                <w:b/>
                <w:sz w:val="22"/>
                <w:szCs w:val="21"/>
              </w:rPr>
              <w:t>：随着汽车行业的发展，规模化的第三方物流企业将获得更多的业务，市场份额将会进一步提升，也会使得物流企业</w:t>
            </w:r>
            <w:r w:rsidRPr="00F13E46">
              <w:rPr>
                <w:rFonts w:asciiTheme="majorEastAsia" w:eastAsiaTheme="majorEastAsia" w:hAnsiTheme="majorEastAsia" w:cs="Arial" w:hint="eastAsia"/>
                <w:b/>
                <w:sz w:val="22"/>
                <w:szCs w:val="21"/>
              </w:rPr>
              <w:t>更</w:t>
            </w:r>
            <w:r w:rsidRPr="00F13E46">
              <w:rPr>
                <w:rFonts w:asciiTheme="majorEastAsia" w:eastAsiaTheme="majorEastAsia" w:hAnsiTheme="majorEastAsia" w:cs="Arial"/>
                <w:b/>
                <w:sz w:val="22"/>
                <w:szCs w:val="21"/>
              </w:rPr>
              <w:t>需要投资于基地建设、信息化管理、市场开拓等方面。</w:t>
            </w:r>
          </w:p>
          <w:p w:rsidR="00F13E46" w:rsidRPr="00F13E46" w:rsidRDefault="00F13E46" w:rsidP="00F13E46">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公司主要客户的发展情况</w:t>
            </w:r>
          </w:p>
          <w:p w:rsidR="00F13E46" w:rsidRPr="00F13E46" w:rsidRDefault="00F13E46" w:rsidP="00F13E46">
            <w:pPr>
              <w:pStyle w:val="a6"/>
              <w:widowControl/>
              <w:shd w:val="clear" w:color="auto" w:fill="FFFFFF"/>
              <w:ind w:left="360" w:firstLineChars="0" w:firstLine="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回复</w:t>
            </w:r>
            <w:r w:rsidRPr="00F13E46">
              <w:rPr>
                <w:rFonts w:asciiTheme="majorEastAsia" w:eastAsiaTheme="majorEastAsia" w:hAnsiTheme="majorEastAsia" w:cs="Arial"/>
                <w:b/>
                <w:kern w:val="0"/>
                <w:sz w:val="22"/>
                <w:szCs w:val="21"/>
              </w:rPr>
              <w:t>：公司的核心客户</w:t>
            </w:r>
            <w:proofErr w:type="gramStart"/>
            <w:r w:rsidRPr="00F13E46">
              <w:rPr>
                <w:rFonts w:asciiTheme="majorEastAsia" w:eastAsiaTheme="majorEastAsia" w:hAnsiTheme="majorEastAsia" w:cs="Arial"/>
                <w:b/>
                <w:kern w:val="0"/>
                <w:sz w:val="22"/>
                <w:szCs w:val="21"/>
              </w:rPr>
              <w:t>是广汽本田</w:t>
            </w:r>
            <w:proofErr w:type="gramEnd"/>
            <w:r w:rsidRPr="00F13E46">
              <w:rPr>
                <w:rFonts w:asciiTheme="majorEastAsia" w:eastAsiaTheme="majorEastAsia" w:hAnsiTheme="majorEastAsia" w:cs="Arial" w:hint="eastAsia"/>
                <w:b/>
                <w:kern w:val="0"/>
                <w:sz w:val="22"/>
                <w:szCs w:val="21"/>
              </w:rPr>
              <w:t>，2014</w:t>
            </w:r>
            <w:r w:rsidRPr="00F13E46">
              <w:rPr>
                <w:rFonts w:asciiTheme="majorEastAsia" w:eastAsiaTheme="majorEastAsia" w:hAnsiTheme="majorEastAsia" w:cs="Arial"/>
                <w:b/>
                <w:kern w:val="0"/>
                <w:sz w:val="22"/>
                <w:szCs w:val="21"/>
              </w:rPr>
              <w:t>-2016</w:t>
            </w:r>
            <w:r w:rsidRPr="00F13E46">
              <w:rPr>
                <w:rFonts w:asciiTheme="majorEastAsia" w:eastAsiaTheme="majorEastAsia" w:hAnsiTheme="majorEastAsia" w:cs="Arial" w:hint="eastAsia"/>
                <w:b/>
                <w:kern w:val="0"/>
                <w:sz w:val="22"/>
                <w:szCs w:val="21"/>
              </w:rPr>
              <w:t>年</w:t>
            </w:r>
            <w:r w:rsidRPr="00F13E46">
              <w:rPr>
                <w:rFonts w:asciiTheme="majorEastAsia" w:eastAsiaTheme="majorEastAsia" w:hAnsiTheme="majorEastAsia" w:cs="Arial"/>
                <w:b/>
                <w:kern w:val="0"/>
                <w:sz w:val="22"/>
                <w:szCs w:val="21"/>
              </w:rPr>
              <w:t>，</w:t>
            </w:r>
            <w:r w:rsidRPr="00F13E46">
              <w:rPr>
                <w:rFonts w:asciiTheme="majorEastAsia" w:eastAsiaTheme="majorEastAsia" w:hAnsiTheme="majorEastAsia" w:cs="Arial" w:hint="eastAsia"/>
                <w:b/>
                <w:kern w:val="0"/>
                <w:sz w:val="22"/>
                <w:szCs w:val="21"/>
              </w:rPr>
              <w:t>本田</w:t>
            </w:r>
            <w:r w:rsidRPr="00F13E46">
              <w:rPr>
                <w:rFonts w:asciiTheme="majorEastAsia" w:eastAsiaTheme="majorEastAsia" w:hAnsiTheme="majorEastAsia" w:cs="Arial"/>
                <w:b/>
                <w:kern w:val="0"/>
                <w:sz w:val="22"/>
                <w:szCs w:val="21"/>
              </w:rPr>
              <w:t>品牌汽车在中国境内（</w:t>
            </w:r>
            <w:proofErr w:type="gramStart"/>
            <w:r w:rsidRPr="00F13E46">
              <w:rPr>
                <w:rFonts w:asciiTheme="majorEastAsia" w:eastAsiaTheme="majorEastAsia" w:hAnsiTheme="majorEastAsia" w:cs="Arial"/>
                <w:b/>
                <w:kern w:val="0"/>
                <w:sz w:val="22"/>
                <w:szCs w:val="21"/>
              </w:rPr>
              <w:t>含广汽</w:t>
            </w:r>
            <w:proofErr w:type="gramEnd"/>
            <w:r w:rsidRPr="00F13E46">
              <w:rPr>
                <w:rFonts w:asciiTheme="majorEastAsia" w:eastAsiaTheme="majorEastAsia" w:hAnsiTheme="majorEastAsia" w:cs="Arial"/>
                <w:b/>
                <w:kern w:val="0"/>
                <w:sz w:val="22"/>
                <w:szCs w:val="21"/>
              </w:rPr>
              <w:t>本田和东风本田）的销量分别为78.83万辆、98.61万辆和125.60万辆，逐年大幅增长，经营效益也维持了较高水平。</w:t>
            </w:r>
          </w:p>
          <w:p w:rsidR="00F13E46" w:rsidRPr="00F13E46" w:rsidRDefault="00F13E46" w:rsidP="00F13E46">
            <w:pPr>
              <w:pStyle w:val="a6"/>
              <w:widowControl/>
              <w:shd w:val="clear" w:color="auto" w:fill="FFFFFF"/>
              <w:ind w:left="360" w:firstLineChars="0" w:firstLine="0"/>
              <w:jc w:val="left"/>
              <w:rPr>
                <w:rFonts w:asciiTheme="majorEastAsia" w:eastAsiaTheme="majorEastAsia" w:hAnsiTheme="majorEastAsia" w:cs="Arial"/>
                <w:b/>
                <w:kern w:val="0"/>
                <w:sz w:val="22"/>
                <w:szCs w:val="21"/>
              </w:rPr>
            </w:pPr>
          </w:p>
          <w:p w:rsidR="00F13E46" w:rsidRPr="00F13E46" w:rsidRDefault="00F13E46" w:rsidP="00F13E46">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相比同行，公司主要的竞争优势？公司对上下游的议价能力</w:t>
            </w:r>
            <w:r>
              <w:rPr>
                <w:rFonts w:asciiTheme="majorEastAsia" w:eastAsiaTheme="majorEastAsia" w:hAnsiTheme="majorEastAsia" w:cs="Arial" w:hint="eastAsia"/>
                <w:b/>
                <w:kern w:val="0"/>
                <w:sz w:val="22"/>
                <w:szCs w:val="21"/>
              </w:rPr>
              <w:t>？</w:t>
            </w:r>
          </w:p>
          <w:p w:rsidR="00F13E46" w:rsidRPr="00F13E46" w:rsidRDefault="00F13E46" w:rsidP="00F13E46">
            <w:pPr>
              <w:pStyle w:val="a6"/>
              <w:widowControl/>
              <w:ind w:left="360" w:firstLineChars="0" w:firstLine="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回复</w:t>
            </w:r>
            <w:r w:rsidRPr="00F13E46">
              <w:rPr>
                <w:rFonts w:asciiTheme="majorEastAsia" w:eastAsiaTheme="majorEastAsia" w:hAnsiTheme="majorEastAsia" w:cs="Arial"/>
                <w:b/>
                <w:kern w:val="0"/>
                <w:sz w:val="22"/>
                <w:szCs w:val="21"/>
              </w:rPr>
              <w:t>：</w:t>
            </w:r>
            <w:r w:rsidRPr="00F13E46">
              <w:rPr>
                <w:rFonts w:asciiTheme="majorEastAsia" w:eastAsiaTheme="majorEastAsia" w:hAnsiTheme="majorEastAsia" w:cs="Arial" w:hint="eastAsia"/>
                <w:b/>
                <w:kern w:val="0"/>
                <w:sz w:val="22"/>
                <w:szCs w:val="21"/>
              </w:rPr>
              <w:t>相比</w:t>
            </w:r>
            <w:r w:rsidRPr="00F13E46">
              <w:rPr>
                <w:rFonts w:asciiTheme="majorEastAsia" w:eastAsiaTheme="majorEastAsia" w:hAnsiTheme="majorEastAsia" w:cs="Arial"/>
                <w:b/>
                <w:kern w:val="0"/>
                <w:sz w:val="22"/>
                <w:szCs w:val="21"/>
              </w:rPr>
              <w:t>同行，</w:t>
            </w:r>
            <w:r w:rsidRPr="00F13E46">
              <w:rPr>
                <w:rFonts w:asciiTheme="majorEastAsia" w:eastAsiaTheme="majorEastAsia" w:hAnsiTheme="majorEastAsia" w:cs="Arial" w:hint="eastAsia"/>
                <w:b/>
                <w:kern w:val="0"/>
                <w:sz w:val="22"/>
                <w:szCs w:val="21"/>
              </w:rPr>
              <w:t>公司主要</w:t>
            </w:r>
            <w:r w:rsidRPr="00F13E46">
              <w:rPr>
                <w:rFonts w:asciiTheme="majorEastAsia" w:eastAsiaTheme="majorEastAsia" w:hAnsiTheme="majorEastAsia" w:cs="Arial"/>
                <w:b/>
                <w:kern w:val="0"/>
                <w:sz w:val="22"/>
                <w:szCs w:val="21"/>
              </w:rPr>
              <w:t>的竞争</w:t>
            </w:r>
            <w:r w:rsidRPr="00F13E46">
              <w:rPr>
                <w:rFonts w:asciiTheme="majorEastAsia" w:eastAsiaTheme="majorEastAsia" w:hAnsiTheme="majorEastAsia" w:cs="Arial" w:hint="eastAsia"/>
                <w:b/>
                <w:kern w:val="0"/>
                <w:sz w:val="22"/>
                <w:szCs w:val="21"/>
              </w:rPr>
              <w:t>优势</w:t>
            </w:r>
            <w:r w:rsidRPr="00F13E46">
              <w:rPr>
                <w:rFonts w:asciiTheme="majorEastAsia" w:eastAsiaTheme="majorEastAsia" w:hAnsiTheme="majorEastAsia" w:cs="Arial"/>
                <w:b/>
                <w:kern w:val="0"/>
                <w:sz w:val="22"/>
                <w:szCs w:val="21"/>
              </w:rPr>
              <w:t>有1</w:t>
            </w:r>
            <w:r w:rsidRPr="00F13E46">
              <w:rPr>
                <w:rFonts w:asciiTheme="majorEastAsia" w:eastAsiaTheme="majorEastAsia" w:hAnsiTheme="majorEastAsia" w:cs="Arial" w:hint="eastAsia"/>
                <w:b/>
                <w:kern w:val="0"/>
                <w:sz w:val="22"/>
                <w:szCs w:val="21"/>
              </w:rPr>
              <w:t>、物流基地优势</w:t>
            </w:r>
            <w:r w:rsidRPr="00F13E46">
              <w:rPr>
                <w:rFonts w:asciiTheme="majorEastAsia" w:eastAsiaTheme="majorEastAsia" w:hAnsiTheme="majorEastAsia" w:cs="Arial"/>
                <w:b/>
                <w:kern w:val="0"/>
                <w:sz w:val="22"/>
                <w:szCs w:val="21"/>
              </w:rPr>
              <w:t>2</w:t>
            </w:r>
            <w:r w:rsidRPr="00F13E46">
              <w:rPr>
                <w:rFonts w:asciiTheme="majorEastAsia" w:eastAsiaTheme="majorEastAsia" w:hAnsiTheme="majorEastAsia" w:cs="Arial" w:hint="eastAsia"/>
                <w:b/>
                <w:kern w:val="0"/>
                <w:sz w:val="22"/>
                <w:szCs w:val="21"/>
              </w:rPr>
              <w:t>、运力优势3、价格优势。</w:t>
            </w:r>
          </w:p>
          <w:p w:rsidR="00F13E46" w:rsidRPr="00F13E46" w:rsidRDefault="00F13E46" w:rsidP="00F13E46">
            <w:pPr>
              <w:pStyle w:val="a6"/>
              <w:widowControl/>
              <w:ind w:left="360" w:firstLineChars="0" w:firstLine="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公司</w:t>
            </w:r>
            <w:r w:rsidRPr="00F13E46">
              <w:rPr>
                <w:rFonts w:asciiTheme="majorEastAsia" w:eastAsiaTheme="majorEastAsia" w:hAnsiTheme="majorEastAsia" w:cs="Arial"/>
                <w:b/>
                <w:kern w:val="0"/>
                <w:sz w:val="22"/>
                <w:szCs w:val="21"/>
              </w:rPr>
              <w:t>主要</w:t>
            </w:r>
            <w:r w:rsidRPr="00F13E46">
              <w:rPr>
                <w:rFonts w:asciiTheme="majorEastAsia" w:eastAsiaTheme="majorEastAsia" w:hAnsiTheme="majorEastAsia" w:cs="Arial" w:hint="eastAsia"/>
                <w:b/>
                <w:kern w:val="0"/>
                <w:sz w:val="22"/>
                <w:szCs w:val="21"/>
              </w:rPr>
              <w:t>依靠</w:t>
            </w:r>
            <w:r w:rsidRPr="00F13E46">
              <w:rPr>
                <w:rFonts w:asciiTheme="majorEastAsia" w:eastAsiaTheme="majorEastAsia" w:hAnsiTheme="majorEastAsia" w:cs="Arial"/>
                <w:b/>
                <w:kern w:val="0"/>
                <w:sz w:val="22"/>
                <w:szCs w:val="21"/>
              </w:rPr>
              <w:t>招投标</w:t>
            </w:r>
            <w:r w:rsidRPr="00F13E46">
              <w:rPr>
                <w:rFonts w:asciiTheme="majorEastAsia" w:eastAsiaTheme="majorEastAsia" w:hAnsiTheme="majorEastAsia" w:cs="Arial" w:hint="eastAsia"/>
                <w:b/>
                <w:kern w:val="0"/>
                <w:sz w:val="22"/>
                <w:szCs w:val="21"/>
              </w:rPr>
              <w:t>的方</w:t>
            </w:r>
            <w:r w:rsidRPr="00F13E46">
              <w:rPr>
                <w:rFonts w:asciiTheme="majorEastAsia" w:eastAsiaTheme="majorEastAsia" w:hAnsiTheme="majorEastAsia" w:cs="Arial"/>
                <w:b/>
                <w:kern w:val="0"/>
                <w:sz w:val="22"/>
                <w:szCs w:val="21"/>
              </w:rPr>
              <w:t>式</w:t>
            </w:r>
            <w:r w:rsidRPr="00F13E46">
              <w:rPr>
                <w:rFonts w:asciiTheme="majorEastAsia" w:eastAsiaTheme="majorEastAsia" w:hAnsiTheme="majorEastAsia" w:cs="Arial" w:hint="eastAsia"/>
                <w:b/>
                <w:kern w:val="0"/>
                <w:sz w:val="22"/>
                <w:szCs w:val="21"/>
              </w:rPr>
              <w:t>与</w:t>
            </w:r>
            <w:r w:rsidRPr="00F13E46">
              <w:rPr>
                <w:rFonts w:asciiTheme="majorEastAsia" w:eastAsiaTheme="majorEastAsia" w:hAnsiTheme="majorEastAsia" w:cs="Arial"/>
                <w:b/>
                <w:kern w:val="0"/>
                <w:sz w:val="22"/>
                <w:szCs w:val="21"/>
              </w:rPr>
              <w:t>上下游开展合作。</w:t>
            </w:r>
          </w:p>
          <w:p w:rsidR="00F13E46" w:rsidRPr="00F13E46" w:rsidRDefault="00F13E46" w:rsidP="00F13E46">
            <w:pPr>
              <w:pStyle w:val="a6"/>
              <w:ind w:firstLine="442"/>
              <w:rPr>
                <w:rFonts w:asciiTheme="majorEastAsia" w:eastAsiaTheme="majorEastAsia" w:hAnsiTheme="majorEastAsia" w:cs="Arial"/>
                <w:b/>
                <w:kern w:val="0"/>
                <w:sz w:val="22"/>
                <w:szCs w:val="21"/>
              </w:rPr>
            </w:pPr>
          </w:p>
          <w:p w:rsidR="00F13E46" w:rsidRPr="00F13E46" w:rsidRDefault="00F13E46" w:rsidP="00F13E46">
            <w:pPr>
              <w:pStyle w:val="a6"/>
              <w:widowControl/>
              <w:shd w:val="clear" w:color="auto" w:fill="FFFFFF"/>
              <w:ind w:left="360" w:firstLineChars="0" w:firstLine="0"/>
              <w:jc w:val="left"/>
              <w:rPr>
                <w:rFonts w:asciiTheme="majorEastAsia" w:eastAsiaTheme="majorEastAsia" w:hAnsiTheme="majorEastAsia" w:cs="Arial"/>
                <w:b/>
                <w:kern w:val="0"/>
                <w:sz w:val="22"/>
                <w:szCs w:val="21"/>
              </w:rPr>
            </w:pPr>
          </w:p>
          <w:p w:rsidR="00F13E46" w:rsidRPr="00F13E46" w:rsidRDefault="00F13E46" w:rsidP="00F13E46">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汽车零部件物流行业，目前的竞争格局。怎么样看待整车物流企业进入零部件市场？</w:t>
            </w:r>
          </w:p>
          <w:p w:rsidR="00F13E46" w:rsidRPr="00F13E46" w:rsidRDefault="00F13E46" w:rsidP="00F13E46">
            <w:pPr>
              <w:pStyle w:val="a8"/>
              <w:spacing w:before="156" w:after="156"/>
              <w:ind w:leftChars="150" w:left="315" w:firstLineChars="50" w:firstLine="110"/>
              <w:rPr>
                <w:rFonts w:asciiTheme="majorEastAsia" w:eastAsiaTheme="majorEastAsia" w:hAnsiTheme="majorEastAsia" w:cs="Arial"/>
                <w:b/>
                <w:sz w:val="22"/>
                <w:szCs w:val="21"/>
              </w:rPr>
            </w:pPr>
            <w:r w:rsidRPr="00F13E46">
              <w:rPr>
                <w:rFonts w:asciiTheme="majorEastAsia" w:eastAsiaTheme="majorEastAsia" w:hAnsiTheme="majorEastAsia" w:cs="Arial" w:hint="eastAsia"/>
                <w:b/>
                <w:sz w:val="22"/>
                <w:szCs w:val="21"/>
              </w:rPr>
              <w:t>回复</w:t>
            </w:r>
            <w:r w:rsidRPr="00F13E46">
              <w:rPr>
                <w:rFonts w:asciiTheme="majorEastAsia" w:eastAsiaTheme="majorEastAsia" w:hAnsiTheme="majorEastAsia" w:cs="Arial"/>
                <w:b/>
                <w:sz w:val="22"/>
                <w:szCs w:val="21"/>
              </w:rPr>
              <w:t>:</w:t>
            </w:r>
            <w:r w:rsidRPr="00F13E46">
              <w:rPr>
                <w:rFonts w:asciiTheme="majorEastAsia" w:eastAsiaTheme="majorEastAsia" w:hAnsiTheme="majorEastAsia" w:cs="Arial" w:hint="eastAsia"/>
                <w:b/>
                <w:sz w:val="22"/>
                <w:szCs w:val="21"/>
              </w:rPr>
              <w:t>汽车</w:t>
            </w:r>
            <w:r w:rsidRPr="00F13E46">
              <w:rPr>
                <w:rFonts w:asciiTheme="majorEastAsia" w:eastAsiaTheme="majorEastAsia" w:hAnsiTheme="majorEastAsia" w:cs="Arial"/>
                <w:b/>
                <w:sz w:val="22"/>
                <w:szCs w:val="21"/>
              </w:rPr>
              <w:t>零部件物流</w:t>
            </w:r>
            <w:r w:rsidRPr="00F13E46">
              <w:rPr>
                <w:rFonts w:asciiTheme="majorEastAsia" w:eastAsiaTheme="majorEastAsia" w:hAnsiTheme="majorEastAsia" w:cs="Arial" w:hint="eastAsia"/>
                <w:b/>
                <w:sz w:val="22"/>
                <w:szCs w:val="21"/>
              </w:rPr>
              <w:t>行业</w:t>
            </w:r>
            <w:r w:rsidRPr="00F13E46">
              <w:rPr>
                <w:rFonts w:asciiTheme="majorEastAsia" w:eastAsiaTheme="majorEastAsia" w:hAnsiTheme="majorEastAsia" w:cs="Arial"/>
                <w:b/>
                <w:sz w:val="22"/>
                <w:szCs w:val="21"/>
              </w:rPr>
              <w:t>，目前随着国内汽车行业的快速发展，零部件物流的需求大幅增长，同时物流技术不断提升，具备汽车零部件JIT配送能力的企业越来越多，整车生产企业开始引入外部的物流企业，以提升服务质量，降低物流成本，这也给规模化的第三方物流企业带来了市场机遇。国内专业化的零部件物流企业数量</w:t>
            </w:r>
            <w:r w:rsidRPr="00F13E46">
              <w:rPr>
                <w:rFonts w:asciiTheme="majorEastAsia" w:eastAsiaTheme="majorEastAsia" w:hAnsiTheme="majorEastAsia" w:cs="Arial" w:hint="eastAsia"/>
                <w:b/>
                <w:sz w:val="22"/>
                <w:szCs w:val="21"/>
              </w:rPr>
              <w:t>较</w:t>
            </w:r>
            <w:r w:rsidRPr="00F13E46">
              <w:rPr>
                <w:rFonts w:asciiTheme="majorEastAsia" w:eastAsiaTheme="majorEastAsia" w:hAnsiTheme="majorEastAsia" w:cs="Arial"/>
                <w:b/>
                <w:sz w:val="22"/>
                <w:szCs w:val="21"/>
              </w:rPr>
              <w:t>少，部分以整车物流或非汽车物流为主要业务的传统物流企业已开始进入零部件物流领域，比如长久物流、中远物流以及招商局物流等，但整体的市场份额</w:t>
            </w:r>
            <w:r w:rsidRPr="00F13E46">
              <w:rPr>
                <w:rFonts w:asciiTheme="majorEastAsia" w:eastAsiaTheme="majorEastAsia" w:hAnsiTheme="majorEastAsia" w:cs="Arial" w:hint="eastAsia"/>
                <w:b/>
                <w:sz w:val="22"/>
                <w:szCs w:val="21"/>
              </w:rPr>
              <w:t>较</w:t>
            </w:r>
            <w:r w:rsidRPr="00F13E46">
              <w:rPr>
                <w:rFonts w:asciiTheme="majorEastAsia" w:eastAsiaTheme="majorEastAsia" w:hAnsiTheme="majorEastAsia" w:cs="Arial"/>
                <w:b/>
                <w:sz w:val="22"/>
                <w:szCs w:val="21"/>
              </w:rPr>
              <w:t>小。</w:t>
            </w:r>
          </w:p>
          <w:p w:rsidR="00F13E46" w:rsidRPr="00F13E46" w:rsidRDefault="00F13E46" w:rsidP="00F13E46">
            <w:pPr>
              <w:pStyle w:val="a6"/>
              <w:widowControl/>
              <w:numPr>
                <w:ilvl w:val="0"/>
                <w:numId w:val="5"/>
              </w:numPr>
              <w:shd w:val="clear" w:color="auto" w:fill="FFFFFF"/>
              <w:ind w:firstLineChars="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公司怎样降低客户集中度？汽车行业内，非本田</w:t>
            </w:r>
            <w:proofErr w:type="gramStart"/>
            <w:r w:rsidRPr="00F13E46">
              <w:rPr>
                <w:rFonts w:asciiTheme="majorEastAsia" w:eastAsiaTheme="majorEastAsia" w:hAnsiTheme="majorEastAsia" w:cs="Arial" w:hint="eastAsia"/>
                <w:b/>
                <w:kern w:val="0"/>
                <w:sz w:val="22"/>
                <w:szCs w:val="21"/>
              </w:rPr>
              <w:t>系客户</w:t>
            </w:r>
            <w:proofErr w:type="gramEnd"/>
            <w:r w:rsidRPr="00F13E46">
              <w:rPr>
                <w:rFonts w:asciiTheme="majorEastAsia" w:eastAsiaTheme="majorEastAsia" w:hAnsiTheme="majorEastAsia" w:cs="Arial" w:hint="eastAsia"/>
                <w:b/>
                <w:kern w:val="0"/>
                <w:sz w:val="22"/>
                <w:szCs w:val="21"/>
              </w:rPr>
              <w:t>有无可能拓展？非汽车行业客户的拓展情况</w:t>
            </w:r>
          </w:p>
          <w:p w:rsidR="00F13E46" w:rsidRPr="00F13E46" w:rsidRDefault="00F13E46" w:rsidP="00F13E46">
            <w:pPr>
              <w:pStyle w:val="a6"/>
              <w:widowControl/>
              <w:shd w:val="clear" w:color="auto" w:fill="FFFFFF"/>
              <w:ind w:left="360" w:firstLineChars="0" w:firstLine="0"/>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回复</w:t>
            </w:r>
            <w:r w:rsidRPr="00F13E46">
              <w:rPr>
                <w:rFonts w:asciiTheme="majorEastAsia" w:eastAsiaTheme="majorEastAsia" w:hAnsiTheme="majorEastAsia" w:cs="Arial"/>
                <w:b/>
                <w:kern w:val="0"/>
                <w:sz w:val="22"/>
                <w:szCs w:val="21"/>
              </w:rPr>
              <w:t>：公司</w:t>
            </w:r>
            <w:r w:rsidRPr="00F13E46">
              <w:rPr>
                <w:rFonts w:asciiTheme="majorEastAsia" w:eastAsiaTheme="majorEastAsia" w:hAnsiTheme="majorEastAsia" w:cs="Arial" w:hint="eastAsia"/>
                <w:b/>
                <w:kern w:val="0"/>
                <w:sz w:val="22"/>
                <w:szCs w:val="21"/>
              </w:rPr>
              <w:t>为</w:t>
            </w:r>
            <w:r w:rsidRPr="00F13E46">
              <w:rPr>
                <w:rFonts w:asciiTheme="majorEastAsia" w:eastAsiaTheme="majorEastAsia" w:hAnsiTheme="majorEastAsia" w:cs="Arial"/>
                <w:b/>
                <w:kern w:val="0"/>
                <w:sz w:val="22"/>
                <w:szCs w:val="21"/>
              </w:rPr>
              <w:t>汽车行业内的</w:t>
            </w:r>
            <w:r w:rsidRPr="00F13E46">
              <w:rPr>
                <w:rFonts w:asciiTheme="majorEastAsia" w:eastAsiaTheme="majorEastAsia" w:hAnsiTheme="majorEastAsia" w:cs="Arial" w:hint="eastAsia"/>
                <w:b/>
                <w:kern w:val="0"/>
                <w:sz w:val="22"/>
                <w:szCs w:val="21"/>
              </w:rPr>
              <w:t>合资</w:t>
            </w:r>
            <w:r w:rsidRPr="00F13E46">
              <w:rPr>
                <w:rFonts w:asciiTheme="majorEastAsia" w:eastAsiaTheme="majorEastAsia" w:hAnsiTheme="majorEastAsia" w:cs="Arial"/>
                <w:b/>
                <w:kern w:val="0"/>
                <w:sz w:val="22"/>
                <w:szCs w:val="21"/>
              </w:rPr>
              <w:t>品牌和自主品牌都有提供服务，</w:t>
            </w:r>
            <w:r w:rsidRPr="00F13E46">
              <w:rPr>
                <w:rFonts w:asciiTheme="majorEastAsia" w:eastAsiaTheme="majorEastAsia" w:hAnsiTheme="majorEastAsia" w:cs="Arial" w:hint="eastAsia"/>
                <w:b/>
                <w:kern w:val="0"/>
                <w:sz w:val="22"/>
                <w:szCs w:val="21"/>
              </w:rPr>
              <w:t>非</w:t>
            </w:r>
            <w:r w:rsidRPr="00F13E46">
              <w:rPr>
                <w:rFonts w:asciiTheme="majorEastAsia" w:eastAsiaTheme="majorEastAsia" w:hAnsiTheme="majorEastAsia" w:cs="Arial"/>
                <w:b/>
                <w:kern w:val="0"/>
                <w:sz w:val="22"/>
                <w:szCs w:val="21"/>
              </w:rPr>
              <w:t>汽车行业，也与京东、百胜等客户在合作，也将</w:t>
            </w:r>
            <w:r w:rsidRPr="00F13E46">
              <w:rPr>
                <w:rFonts w:asciiTheme="majorEastAsia" w:eastAsiaTheme="majorEastAsia" w:hAnsiTheme="majorEastAsia" w:cs="Arial" w:hint="eastAsia"/>
                <w:b/>
                <w:kern w:val="0"/>
                <w:sz w:val="22"/>
                <w:szCs w:val="21"/>
              </w:rPr>
              <w:t>继续</w:t>
            </w:r>
            <w:r w:rsidRPr="00F13E46">
              <w:rPr>
                <w:rFonts w:asciiTheme="majorEastAsia" w:eastAsiaTheme="majorEastAsia" w:hAnsiTheme="majorEastAsia" w:cs="Arial"/>
                <w:b/>
                <w:kern w:val="0"/>
                <w:sz w:val="22"/>
                <w:szCs w:val="21"/>
              </w:rPr>
              <w:t>利用网络资源拓展非汽车行业客户。</w:t>
            </w:r>
          </w:p>
          <w:p w:rsidR="00F13E46" w:rsidRPr="00F13E46" w:rsidRDefault="00F13E46" w:rsidP="00F13E46">
            <w:pPr>
              <w:pStyle w:val="a6"/>
              <w:ind w:firstLine="442"/>
              <w:rPr>
                <w:rFonts w:asciiTheme="majorEastAsia" w:eastAsiaTheme="majorEastAsia" w:hAnsiTheme="majorEastAsia" w:cs="Arial"/>
                <w:b/>
                <w:kern w:val="0"/>
                <w:sz w:val="22"/>
                <w:szCs w:val="21"/>
              </w:rPr>
            </w:pPr>
          </w:p>
          <w:p w:rsidR="00F13E46" w:rsidRPr="00F13E46" w:rsidRDefault="00F13E46" w:rsidP="00F13E46">
            <w:pPr>
              <w:pStyle w:val="a6"/>
              <w:widowControl/>
              <w:shd w:val="clear" w:color="auto" w:fill="FFFFFF"/>
              <w:ind w:left="360" w:firstLineChars="0" w:firstLine="0"/>
              <w:jc w:val="left"/>
              <w:rPr>
                <w:rFonts w:asciiTheme="majorEastAsia" w:eastAsiaTheme="majorEastAsia" w:hAnsiTheme="majorEastAsia" w:cs="Arial"/>
                <w:b/>
                <w:kern w:val="0"/>
                <w:sz w:val="22"/>
                <w:szCs w:val="21"/>
              </w:rPr>
            </w:pPr>
          </w:p>
          <w:p w:rsidR="00F13E46" w:rsidRPr="00F13E46" w:rsidRDefault="00F13E46" w:rsidP="00F13E46">
            <w:pPr>
              <w:widowControl/>
              <w:shd w:val="clear" w:color="auto" w:fill="FFFFFF"/>
              <w:jc w:val="left"/>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6、新能源车对行业是否有影响？</w:t>
            </w:r>
          </w:p>
          <w:p w:rsidR="00F13E46" w:rsidRPr="00F13E46" w:rsidRDefault="00F13E46" w:rsidP="00F13E46">
            <w:pPr>
              <w:widowControl/>
              <w:shd w:val="clear" w:color="auto" w:fill="FFFFFF"/>
              <w:ind w:left="221" w:hangingChars="100" w:hanging="221"/>
              <w:rPr>
                <w:rFonts w:asciiTheme="majorEastAsia" w:eastAsiaTheme="majorEastAsia" w:hAnsiTheme="majorEastAsia" w:cs="Arial"/>
                <w:b/>
                <w:kern w:val="0"/>
                <w:sz w:val="22"/>
                <w:szCs w:val="21"/>
              </w:rPr>
            </w:pPr>
            <w:r w:rsidRPr="00F13E46">
              <w:rPr>
                <w:rFonts w:asciiTheme="majorEastAsia" w:eastAsiaTheme="majorEastAsia" w:hAnsiTheme="majorEastAsia" w:cs="Arial" w:hint="eastAsia"/>
                <w:b/>
                <w:kern w:val="0"/>
                <w:sz w:val="22"/>
                <w:szCs w:val="21"/>
              </w:rPr>
              <w:t> 回复：</w:t>
            </w:r>
            <w:r w:rsidRPr="00F13E46">
              <w:rPr>
                <w:rFonts w:asciiTheme="majorEastAsia" w:eastAsiaTheme="majorEastAsia" w:hAnsiTheme="majorEastAsia" w:cs="Arial"/>
                <w:b/>
                <w:kern w:val="0"/>
                <w:sz w:val="22"/>
                <w:szCs w:val="21"/>
              </w:rPr>
              <w:t>新能源汽车</w:t>
            </w:r>
            <w:r w:rsidRPr="00F13E46">
              <w:rPr>
                <w:rFonts w:asciiTheme="majorEastAsia" w:eastAsiaTheme="majorEastAsia" w:hAnsiTheme="majorEastAsia" w:cs="Arial" w:hint="eastAsia"/>
                <w:b/>
                <w:kern w:val="0"/>
                <w:sz w:val="22"/>
                <w:szCs w:val="21"/>
              </w:rPr>
              <w:t>和</w:t>
            </w:r>
            <w:r w:rsidRPr="00F13E46">
              <w:rPr>
                <w:rFonts w:asciiTheme="majorEastAsia" w:eastAsiaTheme="majorEastAsia" w:hAnsiTheme="majorEastAsia" w:cs="Arial"/>
                <w:b/>
                <w:kern w:val="0"/>
                <w:sz w:val="22"/>
                <w:szCs w:val="21"/>
              </w:rPr>
              <w:t>传统汽车行业的生产</w:t>
            </w:r>
            <w:r w:rsidRPr="00F13E46">
              <w:rPr>
                <w:rFonts w:asciiTheme="majorEastAsia" w:eastAsiaTheme="majorEastAsia" w:hAnsiTheme="majorEastAsia" w:cs="Arial" w:hint="eastAsia"/>
                <w:b/>
                <w:kern w:val="0"/>
                <w:sz w:val="22"/>
                <w:szCs w:val="21"/>
              </w:rPr>
              <w:t>方式</w:t>
            </w:r>
            <w:r w:rsidRPr="00F13E46">
              <w:rPr>
                <w:rFonts w:asciiTheme="majorEastAsia" w:eastAsiaTheme="majorEastAsia" w:hAnsiTheme="majorEastAsia" w:cs="Arial"/>
                <w:b/>
                <w:kern w:val="0"/>
                <w:sz w:val="22"/>
                <w:szCs w:val="21"/>
              </w:rPr>
              <w:t>除了发动机和变速箱</w:t>
            </w:r>
            <w:r w:rsidRPr="00F13E46">
              <w:rPr>
                <w:rFonts w:asciiTheme="majorEastAsia" w:eastAsiaTheme="majorEastAsia" w:hAnsiTheme="majorEastAsia" w:cs="Arial" w:hint="eastAsia"/>
                <w:b/>
                <w:kern w:val="0"/>
                <w:sz w:val="22"/>
                <w:szCs w:val="21"/>
              </w:rPr>
              <w:t>等</w:t>
            </w:r>
            <w:r w:rsidRPr="00F13E46">
              <w:rPr>
                <w:rFonts w:asciiTheme="majorEastAsia" w:eastAsiaTheme="majorEastAsia" w:hAnsiTheme="majorEastAsia" w:cs="Arial"/>
                <w:b/>
                <w:kern w:val="0"/>
                <w:sz w:val="22"/>
                <w:szCs w:val="21"/>
              </w:rPr>
              <w:t>其余</w:t>
            </w:r>
            <w:r w:rsidRPr="00F13E46">
              <w:rPr>
                <w:rFonts w:asciiTheme="majorEastAsia" w:eastAsiaTheme="majorEastAsia" w:hAnsiTheme="majorEastAsia" w:cs="Arial" w:hint="eastAsia"/>
                <w:b/>
                <w:kern w:val="0"/>
                <w:sz w:val="22"/>
                <w:szCs w:val="21"/>
              </w:rPr>
              <w:t>没有</w:t>
            </w:r>
            <w:r w:rsidRPr="00F13E46">
              <w:rPr>
                <w:rFonts w:asciiTheme="majorEastAsia" w:eastAsiaTheme="majorEastAsia" w:hAnsiTheme="majorEastAsia" w:cs="Arial"/>
                <w:b/>
                <w:kern w:val="0"/>
                <w:sz w:val="22"/>
                <w:szCs w:val="21"/>
              </w:rPr>
              <w:t>太多区别，</w:t>
            </w:r>
            <w:r w:rsidRPr="00F13E46">
              <w:rPr>
                <w:rFonts w:asciiTheme="majorEastAsia" w:eastAsiaTheme="majorEastAsia" w:hAnsiTheme="majorEastAsia" w:cs="Arial" w:hint="eastAsia"/>
                <w:b/>
                <w:kern w:val="0"/>
                <w:sz w:val="22"/>
                <w:szCs w:val="21"/>
              </w:rPr>
              <w:t>对第</w:t>
            </w:r>
            <w:r w:rsidRPr="00F13E46">
              <w:rPr>
                <w:rFonts w:asciiTheme="majorEastAsia" w:eastAsiaTheme="majorEastAsia" w:hAnsiTheme="majorEastAsia" w:cs="Arial"/>
                <w:b/>
                <w:kern w:val="0"/>
                <w:sz w:val="22"/>
                <w:szCs w:val="21"/>
              </w:rPr>
              <w:t>三方物流</w:t>
            </w:r>
            <w:r w:rsidRPr="00F13E46">
              <w:rPr>
                <w:rFonts w:asciiTheme="majorEastAsia" w:eastAsiaTheme="majorEastAsia" w:hAnsiTheme="majorEastAsia" w:cs="Arial" w:hint="eastAsia"/>
                <w:b/>
                <w:kern w:val="0"/>
                <w:sz w:val="22"/>
                <w:szCs w:val="21"/>
              </w:rPr>
              <w:t>的</w:t>
            </w:r>
            <w:r w:rsidRPr="00F13E46">
              <w:rPr>
                <w:rFonts w:asciiTheme="majorEastAsia" w:eastAsiaTheme="majorEastAsia" w:hAnsiTheme="majorEastAsia" w:cs="Arial"/>
                <w:b/>
                <w:kern w:val="0"/>
                <w:sz w:val="22"/>
                <w:szCs w:val="21"/>
              </w:rPr>
              <w:t>需求</w:t>
            </w:r>
            <w:r w:rsidRPr="00F13E46">
              <w:rPr>
                <w:rFonts w:asciiTheme="majorEastAsia" w:eastAsiaTheme="majorEastAsia" w:hAnsiTheme="majorEastAsia" w:cs="Arial" w:hint="eastAsia"/>
                <w:b/>
                <w:kern w:val="0"/>
                <w:sz w:val="22"/>
                <w:szCs w:val="21"/>
              </w:rPr>
              <w:t>是</w:t>
            </w:r>
            <w:r w:rsidRPr="00F13E46">
              <w:rPr>
                <w:rFonts w:asciiTheme="majorEastAsia" w:eastAsiaTheme="majorEastAsia" w:hAnsiTheme="majorEastAsia" w:cs="Arial"/>
                <w:b/>
                <w:kern w:val="0"/>
                <w:sz w:val="22"/>
                <w:szCs w:val="21"/>
              </w:rPr>
              <w:t>相同的。</w:t>
            </w:r>
          </w:p>
          <w:p w:rsidR="00DA1244" w:rsidRPr="00F13E46" w:rsidRDefault="00DA1244">
            <w:pPr>
              <w:tabs>
                <w:tab w:val="left" w:pos="1296"/>
              </w:tabs>
              <w:spacing w:line="360" w:lineRule="auto"/>
              <w:rPr>
                <w:rFonts w:asciiTheme="majorEastAsia" w:eastAsiaTheme="majorEastAsia" w:hAnsiTheme="majorEastAsia" w:cs="Arial"/>
                <w:b/>
                <w:kern w:val="0"/>
                <w:sz w:val="22"/>
                <w:szCs w:val="21"/>
              </w:rPr>
            </w:pPr>
          </w:p>
        </w:tc>
      </w:tr>
      <w:tr w:rsidR="00E0677D" w:rsidTr="00947DE7">
        <w:trPr>
          <w:jc w:val="center"/>
        </w:trPr>
        <w:tc>
          <w:tcPr>
            <w:tcW w:w="1730" w:type="dxa"/>
            <w:shd w:val="clear" w:color="auto" w:fill="auto"/>
            <w:vAlign w:val="center"/>
          </w:tcPr>
          <w:p w:rsidR="00E0677D" w:rsidRDefault="007E334D">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5943" w:type="dxa"/>
            <w:shd w:val="clear" w:color="auto" w:fill="auto"/>
          </w:tcPr>
          <w:p w:rsidR="00E0677D" w:rsidRDefault="007E334D">
            <w:pPr>
              <w:spacing w:line="480" w:lineRule="atLeast"/>
              <w:rPr>
                <w:rFonts w:ascii="宋体" w:hAnsi="宋体"/>
                <w:bCs/>
                <w:iCs/>
                <w:sz w:val="24"/>
                <w:szCs w:val="24"/>
              </w:rPr>
            </w:pPr>
            <w:r>
              <w:rPr>
                <w:rFonts w:ascii="宋体" w:hAnsi="宋体" w:hint="eastAsia"/>
                <w:bCs/>
                <w:iCs/>
                <w:sz w:val="24"/>
                <w:szCs w:val="24"/>
              </w:rPr>
              <w:t>无</w:t>
            </w:r>
          </w:p>
        </w:tc>
      </w:tr>
      <w:tr w:rsidR="00E0677D" w:rsidTr="00947DE7">
        <w:trPr>
          <w:jc w:val="center"/>
        </w:trPr>
        <w:tc>
          <w:tcPr>
            <w:tcW w:w="1730" w:type="dxa"/>
            <w:shd w:val="clear" w:color="auto" w:fill="auto"/>
            <w:vAlign w:val="center"/>
          </w:tcPr>
          <w:p w:rsidR="00E0677D" w:rsidRDefault="007E334D">
            <w:pPr>
              <w:spacing w:line="480" w:lineRule="atLeast"/>
              <w:rPr>
                <w:rFonts w:ascii="宋体" w:hAnsi="宋体"/>
                <w:b/>
                <w:bCs/>
                <w:iCs/>
                <w:sz w:val="24"/>
                <w:szCs w:val="24"/>
              </w:rPr>
            </w:pPr>
            <w:r>
              <w:rPr>
                <w:rFonts w:ascii="宋体" w:hAnsi="宋体" w:hint="eastAsia"/>
                <w:b/>
                <w:bCs/>
                <w:iCs/>
                <w:sz w:val="24"/>
                <w:szCs w:val="24"/>
              </w:rPr>
              <w:t>日期</w:t>
            </w:r>
          </w:p>
        </w:tc>
        <w:tc>
          <w:tcPr>
            <w:tcW w:w="5943" w:type="dxa"/>
            <w:shd w:val="clear" w:color="auto" w:fill="auto"/>
          </w:tcPr>
          <w:p w:rsidR="00E0677D" w:rsidRDefault="00947DE7" w:rsidP="00F13E46">
            <w:pPr>
              <w:spacing w:line="480" w:lineRule="atLeast"/>
              <w:rPr>
                <w:rFonts w:ascii="宋体" w:hAnsi="宋体"/>
                <w:bCs/>
                <w:iCs/>
                <w:sz w:val="24"/>
                <w:szCs w:val="24"/>
              </w:rPr>
            </w:pPr>
            <w:r>
              <w:rPr>
                <w:rFonts w:ascii="宋体" w:hAnsi="宋体" w:hint="eastAsia"/>
                <w:bCs/>
                <w:iCs/>
                <w:sz w:val="24"/>
                <w:szCs w:val="24"/>
              </w:rPr>
              <w:t>2017年11月0</w:t>
            </w:r>
            <w:r w:rsidR="00F13E46">
              <w:rPr>
                <w:rFonts w:ascii="宋体" w:hAnsi="宋体"/>
                <w:bCs/>
                <w:iCs/>
                <w:sz w:val="24"/>
                <w:szCs w:val="24"/>
              </w:rPr>
              <w:t>8</w:t>
            </w:r>
            <w:r>
              <w:rPr>
                <w:rFonts w:ascii="宋体" w:hAnsi="宋体" w:hint="eastAsia"/>
                <w:bCs/>
                <w:iCs/>
                <w:sz w:val="24"/>
                <w:szCs w:val="24"/>
              </w:rPr>
              <w:t>日</w:t>
            </w:r>
          </w:p>
        </w:tc>
      </w:tr>
    </w:tbl>
    <w:p w:rsidR="00E0677D" w:rsidRDefault="00E0677D">
      <w:pPr>
        <w:ind w:firstLineChars="200" w:firstLine="480"/>
        <w:rPr>
          <w:sz w:val="24"/>
          <w:szCs w:val="24"/>
        </w:rPr>
      </w:pPr>
    </w:p>
    <w:p w:rsidR="00E0677D" w:rsidRDefault="00E0677D"/>
    <w:p w:rsidR="00E0677D" w:rsidRDefault="00E0677D"/>
    <w:sectPr w:rsidR="00E0677D" w:rsidSect="00232BC1">
      <w:headerReference w:type="default" r:id="rId8"/>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F6" w:rsidRDefault="003720F6">
      <w:r>
        <w:separator/>
      </w:r>
    </w:p>
  </w:endnote>
  <w:endnote w:type="continuationSeparator" w:id="0">
    <w:p w:rsidR="003720F6" w:rsidRDefault="0037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F6" w:rsidRDefault="003720F6">
      <w:r>
        <w:separator/>
      </w:r>
    </w:p>
  </w:footnote>
  <w:footnote w:type="continuationSeparator" w:id="0">
    <w:p w:rsidR="003720F6" w:rsidRDefault="0037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77D" w:rsidRDefault="007E334D">
    <w:pPr>
      <w:pStyle w:val="a5"/>
      <w:rPr>
        <w:rFonts w:ascii="宋体" w:hAnsi="宋体"/>
        <w:bCs/>
        <w:iCs/>
        <w:sz w:val="21"/>
        <w:szCs w:val="21"/>
      </w:rPr>
    </w:pPr>
    <w:r>
      <w:rPr>
        <w:rFonts w:ascii="宋体" w:hAnsi="宋体" w:hint="eastAsia"/>
        <w:bCs/>
        <w:iCs/>
        <w:sz w:val="21"/>
        <w:szCs w:val="21"/>
      </w:rPr>
      <w:t>证券代码：</w:t>
    </w:r>
    <w:r w:rsidR="00F737B7">
      <w:rPr>
        <w:rFonts w:ascii="宋体" w:hAnsi="宋体" w:hint="eastAsia"/>
        <w:bCs/>
        <w:iCs/>
        <w:sz w:val="21"/>
        <w:szCs w:val="21"/>
      </w:rPr>
      <w:t>60</w:t>
    </w:r>
    <w:r w:rsidR="00F737B7">
      <w:rPr>
        <w:rFonts w:ascii="宋体" w:hAnsi="宋体"/>
        <w:bCs/>
        <w:iCs/>
        <w:sz w:val="21"/>
        <w:szCs w:val="21"/>
      </w:rPr>
      <w:t>3</w:t>
    </w:r>
    <w:r w:rsidR="00F737B7">
      <w:rPr>
        <w:rFonts w:ascii="宋体" w:hAnsi="宋体" w:hint="eastAsia"/>
        <w:bCs/>
        <w:iCs/>
        <w:sz w:val="21"/>
        <w:szCs w:val="21"/>
      </w:rPr>
      <w:t>813</w:t>
    </w:r>
    <w:r>
      <w:rPr>
        <w:rFonts w:ascii="宋体" w:hAnsi="宋体"/>
        <w:bCs/>
        <w:iCs/>
        <w:sz w:val="21"/>
        <w:szCs w:val="21"/>
      </w:rPr>
      <w:t xml:space="preserve">                           </w:t>
    </w:r>
    <w:r>
      <w:rPr>
        <w:rFonts w:ascii="宋体" w:hAnsi="宋体" w:hint="eastAsia"/>
        <w:bCs/>
        <w:iCs/>
        <w:sz w:val="21"/>
        <w:szCs w:val="21"/>
      </w:rPr>
      <w:t xml:space="preserve">         证券简称：</w:t>
    </w:r>
    <w:r w:rsidR="00F737B7">
      <w:rPr>
        <w:rFonts w:ascii="宋体" w:hAnsi="宋体" w:hint="eastAsia"/>
        <w:bCs/>
        <w:iCs/>
        <w:sz w:val="21"/>
        <w:szCs w:val="21"/>
      </w:rPr>
      <w:t>原尚</w:t>
    </w:r>
    <w:r w:rsidR="00F737B7">
      <w:rPr>
        <w:rFonts w:ascii="宋体" w:hAnsi="宋体"/>
        <w:bCs/>
        <w:iCs/>
        <w:sz w:val="21"/>
        <w:szCs w:val="21"/>
      </w:rPr>
      <w:t>股份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F22D1"/>
    <w:multiLevelType w:val="hybridMultilevel"/>
    <w:tmpl w:val="9B360B1E"/>
    <w:lvl w:ilvl="0" w:tplc="0D5CE2E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C756ED"/>
    <w:multiLevelType w:val="hybridMultilevel"/>
    <w:tmpl w:val="E970FD42"/>
    <w:lvl w:ilvl="0" w:tplc="C2CA7C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CF7E6F"/>
    <w:multiLevelType w:val="hybridMultilevel"/>
    <w:tmpl w:val="71BCD3E8"/>
    <w:lvl w:ilvl="0" w:tplc="52D4E5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64D5B"/>
    <w:multiLevelType w:val="hybridMultilevel"/>
    <w:tmpl w:val="6B1456AA"/>
    <w:lvl w:ilvl="0" w:tplc="78027D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E8431A"/>
    <w:multiLevelType w:val="hybridMultilevel"/>
    <w:tmpl w:val="80ACC2C0"/>
    <w:lvl w:ilvl="0" w:tplc="416A1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8"/>
    <w:rsid w:val="000157FD"/>
    <w:rsid w:val="000245CA"/>
    <w:rsid w:val="000754B4"/>
    <w:rsid w:val="00080F2B"/>
    <w:rsid w:val="000A31DA"/>
    <w:rsid w:val="000A7E4A"/>
    <w:rsid w:val="000D00C7"/>
    <w:rsid w:val="000D3A79"/>
    <w:rsid w:val="000F18AF"/>
    <w:rsid w:val="001024E5"/>
    <w:rsid w:val="00106147"/>
    <w:rsid w:val="00130C40"/>
    <w:rsid w:val="00155B3C"/>
    <w:rsid w:val="00174F18"/>
    <w:rsid w:val="00175757"/>
    <w:rsid w:val="00194834"/>
    <w:rsid w:val="001A467E"/>
    <w:rsid w:val="001D6BFE"/>
    <w:rsid w:val="001F4DDD"/>
    <w:rsid w:val="00214491"/>
    <w:rsid w:val="002312D7"/>
    <w:rsid w:val="00231727"/>
    <w:rsid w:val="00232BC1"/>
    <w:rsid w:val="0025317F"/>
    <w:rsid w:val="00273315"/>
    <w:rsid w:val="002D1265"/>
    <w:rsid w:val="002D200D"/>
    <w:rsid w:val="002D7DA7"/>
    <w:rsid w:val="003063E5"/>
    <w:rsid w:val="0035062B"/>
    <w:rsid w:val="003542D7"/>
    <w:rsid w:val="00371229"/>
    <w:rsid w:val="003720F6"/>
    <w:rsid w:val="00395D4D"/>
    <w:rsid w:val="003F4018"/>
    <w:rsid w:val="00465489"/>
    <w:rsid w:val="00474FCD"/>
    <w:rsid w:val="0047613C"/>
    <w:rsid w:val="00497936"/>
    <w:rsid w:val="004E2B0F"/>
    <w:rsid w:val="00532CF0"/>
    <w:rsid w:val="00550366"/>
    <w:rsid w:val="005821BB"/>
    <w:rsid w:val="005F359B"/>
    <w:rsid w:val="00612EFB"/>
    <w:rsid w:val="0061358F"/>
    <w:rsid w:val="00642CF8"/>
    <w:rsid w:val="00684FFB"/>
    <w:rsid w:val="00686ADF"/>
    <w:rsid w:val="006870FD"/>
    <w:rsid w:val="006C2175"/>
    <w:rsid w:val="006D524A"/>
    <w:rsid w:val="006F5D79"/>
    <w:rsid w:val="0072048B"/>
    <w:rsid w:val="007C57FF"/>
    <w:rsid w:val="007D371E"/>
    <w:rsid w:val="007E334D"/>
    <w:rsid w:val="007E6C40"/>
    <w:rsid w:val="00817A24"/>
    <w:rsid w:val="00821EFA"/>
    <w:rsid w:val="008403C3"/>
    <w:rsid w:val="00877D67"/>
    <w:rsid w:val="008865DC"/>
    <w:rsid w:val="008A0B53"/>
    <w:rsid w:val="008A7858"/>
    <w:rsid w:val="0090042E"/>
    <w:rsid w:val="00923FA7"/>
    <w:rsid w:val="00947DE7"/>
    <w:rsid w:val="0098031D"/>
    <w:rsid w:val="0099128B"/>
    <w:rsid w:val="009B52CC"/>
    <w:rsid w:val="00A1617C"/>
    <w:rsid w:val="00A51181"/>
    <w:rsid w:val="00A767D4"/>
    <w:rsid w:val="00A8341B"/>
    <w:rsid w:val="00AD039E"/>
    <w:rsid w:val="00AE4E56"/>
    <w:rsid w:val="00B241D3"/>
    <w:rsid w:val="00B504EB"/>
    <w:rsid w:val="00BA1952"/>
    <w:rsid w:val="00BD096D"/>
    <w:rsid w:val="00C17D24"/>
    <w:rsid w:val="00C56033"/>
    <w:rsid w:val="00C73448"/>
    <w:rsid w:val="00C84344"/>
    <w:rsid w:val="00CB7B99"/>
    <w:rsid w:val="00CC384A"/>
    <w:rsid w:val="00CD74DE"/>
    <w:rsid w:val="00D336F2"/>
    <w:rsid w:val="00D70F87"/>
    <w:rsid w:val="00DA1244"/>
    <w:rsid w:val="00DA214C"/>
    <w:rsid w:val="00DC3BE2"/>
    <w:rsid w:val="00DF0471"/>
    <w:rsid w:val="00DF4543"/>
    <w:rsid w:val="00E0677D"/>
    <w:rsid w:val="00E109A7"/>
    <w:rsid w:val="00E40C1C"/>
    <w:rsid w:val="00E44458"/>
    <w:rsid w:val="00E50677"/>
    <w:rsid w:val="00E52047"/>
    <w:rsid w:val="00E763EC"/>
    <w:rsid w:val="00EF2C4F"/>
    <w:rsid w:val="00F13E46"/>
    <w:rsid w:val="00F30B51"/>
    <w:rsid w:val="00F54E81"/>
    <w:rsid w:val="00F737B7"/>
    <w:rsid w:val="00F83012"/>
    <w:rsid w:val="00FC29B2"/>
    <w:rsid w:val="00FC51E6"/>
    <w:rsid w:val="00FD3B33"/>
    <w:rsid w:val="00FD68D8"/>
    <w:rsid w:val="47C003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8C3F1-5B4A-4752-A8BA-3C9A9DD3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hAnsi="Times New Roman"/>
      <w:kern w:val="2"/>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rPr>
      <w:rFonts w:ascii="Times New Roman" w:hAnsi="Times New Roman"/>
      <w:kern w:val="2"/>
      <w:sz w:val="18"/>
      <w:szCs w:val="18"/>
    </w:rPr>
  </w:style>
  <w:style w:type="paragraph" w:styleId="a7">
    <w:name w:val="Normal (Web)"/>
    <w:basedOn w:val="a"/>
    <w:uiPriority w:val="99"/>
    <w:unhideWhenUsed/>
    <w:rsid w:val="00DA1244"/>
    <w:pPr>
      <w:widowControl/>
      <w:spacing w:before="100" w:beforeAutospacing="1" w:after="100" w:afterAutospacing="1"/>
      <w:jc w:val="left"/>
    </w:pPr>
    <w:rPr>
      <w:rFonts w:ascii="宋体" w:hAnsi="宋体" w:cs="宋体"/>
      <w:kern w:val="0"/>
      <w:sz w:val="24"/>
      <w:szCs w:val="24"/>
    </w:rPr>
  </w:style>
  <w:style w:type="character" w:customStyle="1" w:styleId="Char2">
    <w:name w:val="五级目录 Char"/>
    <w:link w:val="a8"/>
    <w:rsid w:val="00F13E46"/>
    <w:rPr>
      <w:rFonts w:ascii="Times New Roman" w:hAnsi="Times New Roman"/>
      <w:sz w:val="24"/>
      <w:szCs w:val="24"/>
    </w:rPr>
  </w:style>
  <w:style w:type="paragraph" w:customStyle="1" w:styleId="a8">
    <w:name w:val="五级目录"/>
    <w:basedOn w:val="a"/>
    <w:link w:val="Char2"/>
    <w:qFormat/>
    <w:rsid w:val="00F13E46"/>
    <w:pPr>
      <w:spacing w:beforeLines="50" w:afterLines="50" w:line="360" w:lineRule="auto"/>
      <w:ind w:firstLineChars="200" w:firstLine="480"/>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165</Words>
  <Characters>947</Characters>
  <Application>Microsoft Office Word</Application>
  <DocSecurity>0</DocSecurity>
  <Lines>7</Lines>
  <Paragraphs>2</Paragraphs>
  <ScaleCrop>false</ScaleCrop>
  <Company>Microsoft</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CC</cp:lastModifiedBy>
  <cp:revision>10</cp:revision>
  <cp:lastPrinted>2017-11-06T02:12:00Z</cp:lastPrinted>
  <dcterms:created xsi:type="dcterms:W3CDTF">2017-11-03T06:18:00Z</dcterms:created>
  <dcterms:modified xsi:type="dcterms:W3CDTF">2017-11-08T05:35:00Z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