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pPr>
      <w:r>
        <w:rPr>
          <w:rFonts w:hint="eastAsia"/>
        </w:rPr>
        <w:t>证券代码：601777                                            证券简称：力帆股份</w:t>
      </w:r>
    </w:p>
    <w:p>
      <w:pPr>
        <w:spacing w:after="0" w:line="360" w:lineRule="auto"/>
      </w:pPr>
    </w:p>
    <w:p>
      <w:pPr>
        <w:spacing w:after="0" w:line="360" w:lineRule="auto"/>
        <w:ind w:firstLine="843" w:firstLineChars="300"/>
        <w:jc w:val="center"/>
        <w:rPr>
          <w:rFonts w:ascii="宋体" w:hAnsi="宋体" w:cs="宋体"/>
          <w:b/>
          <w:sz w:val="28"/>
        </w:rPr>
      </w:pPr>
      <w:r>
        <w:rPr>
          <w:rFonts w:hint="eastAsia" w:ascii="宋体" w:hAnsi="宋体" w:cs="宋体"/>
          <w:b/>
          <w:sz w:val="28"/>
        </w:rPr>
        <w:t>力帆实业（集团）股份有限公司</w:t>
      </w:r>
    </w:p>
    <w:p>
      <w:pPr>
        <w:spacing w:after="0" w:line="360" w:lineRule="auto"/>
        <w:ind w:firstLine="819" w:firstLineChars="300"/>
        <w:jc w:val="center"/>
        <w:rPr>
          <w:rFonts w:ascii="宋体" w:cs="宋体"/>
          <w:b/>
          <w:spacing w:val="-2"/>
          <w:w w:val="98"/>
          <w:sz w:val="28"/>
        </w:rPr>
      </w:pPr>
      <w:r>
        <w:rPr>
          <w:rFonts w:hint="eastAsia" w:ascii="宋体" w:hAnsi="宋体" w:cs="宋体"/>
          <w:b/>
          <w:spacing w:val="-1"/>
          <w:w w:val="98"/>
          <w:sz w:val="28"/>
        </w:rPr>
        <w:t>投资者关系活动记</w:t>
      </w:r>
      <w:r>
        <w:rPr>
          <w:rFonts w:hint="eastAsia" w:ascii="宋体" w:hAnsi="宋体" w:cs="宋体"/>
          <w:b/>
          <w:spacing w:val="-2"/>
          <w:w w:val="98"/>
          <w:sz w:val="28"/>
        </w:rPr>
        <w:t>录表</w:t>
      </w:r>
    </w:p>
    <w:p>
      <w:pPr>
        <w:spacing w:after="0" w:line="360" w:lineRule="auto"/>
        <w:ind w:firstLine="632" w:firstLineChars="300"/>
        <w:jc w:val="right"/>
        <w:rPr>
          <w:rFonts w:ascii="宋体" w:cs="宋体"/>
          <w:b/>
          <w:szCs w:val="21"/>
        </w:rPr>
      </w:pP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Pr>
          <w:p>
            <w:pPr>
              <w:spacing w:line="480" w:lineRule="atLeast"/>
              <w:rPr>
                <w:rFonts w:ascii="宋体"/>
                <w:b/>
                <w:bCs/>
                <w:iCs/>
                <w:color w:val="000000"/>
                <w:sz w:val="24"/>
              </w:rPr>
            </w:pPr>
            <w:r>
              <w:rPr>
                <w:rFonts w:hint="eastAsia" w:ascii="宋体" w:hAnsi="宋体"/>
                <w:b/>
                <w:bCs/>
                <w:iCs/>
                <w:color w:val="000000"/>
                <w:sz w:val="24"/>
              </w:rPr>
              <w:t>投资者关系活动类别</w:t>
            </w:r>
          </w:p>
          <w:p>
            <w:pPr>
              <w:spacing w:line="480" w:lineRule="atLeast"/>
              <w:rPr>
                <w:rFonts w:ascii="宋体"/>
                <w:b/>
                <w:bCs/>
                <w:iCs/>
                <w:color w:val="000000"/>
                <w:sz w:val="24"/>
              </w:rPr>
            </w:pPr>
          </w:p>
        </w:tc>
        <w:tc>
          <w:tcPr>
            <w:tcW w:w="6614" w:type="dxa"/>
          </w:tcPr>
          <w:p>
            <w:pPr>
              <w:spacing w:line="480" w:lineRule="atLeast"/>
              <w:rPr>
                <w:rFonts w:ascii="宋体" w:cs="宋体"/>
                <w:bCs/>
                <w:iCs/>
                <w:color w:val="000000"/>
                <w:kern w:val="0"/>
                <w:sz w:val="24"/>
              </w:rPr>
            </w:pPr>
            <w:r>
              <w:rPr>
                <w:rFonts w:hint="eastAsia" w:ascii="宋体" w:hAnsi="Wingdings" w:cs="宋体"/>
                <w:bCs/>
                <w:iCs/>
                <w:color w:val="000000"/>
                <w:kern w:val="0"/>
                <w:sz w:val="24"/>
                <w:szCs w:val="24"/>
              </w:rPr>
              <w:t>■</w:t>
            </w:r>
            <w:r>
              <w:rPr>
                <w:rFonts w:hint="eastAsia" w:ascii="宋体" w:hAnsi="宋体" w:cs="宋体"/>
                <w:bCs/>
                <w:iCs/>
                <w:color w:val="000000"/>
                <w:kern w:val="0"/>
                <w:sz w:val="24"/>
              </w:rPr>
              <w:t>特定对象调研    □分析师会议</w:t>
            </w:r>
          </w:p>
          <w:p>
            <w:pPr>
              <w:spacing w:line="480" w:lineRule="atLeast"/>
              <w:rPr>
                <w:rFonts w:ascii="宋体" w:cs="宋体"/>
                <w:bCs/>
                <w:iCs/>
                <w:color w:val="000000"/>
                <w:kern w:val="0"/>
                <w:sz w:val="24"/>
              </w:rPr>
            </w:pPr>
            <w:r>
              <w:rPr>
                <w:rFonts w:hint="eastAsia" w:ascii="宋体" w:hAnsi="宋体" w:cs="宋体"/>
                <w:bCs/>
                <w:iCs/>
                <w:color w:val="000000"/>
                <w:kern w:val="0"/>
                <w:sz w:val="24"/>
              </w:rPr>
              <w:t>□媒体采访        □业绩说明会</w:t>
            </w:r>
          </w:p>
          <w:p>
            <w:pPr>
              <w:spacing w:line="480" w:lineRule="atLeast"/>
              <w:rPr>
                <w:rFonts w:ascii="宋体" w:cs="宋体"/>
                <w:bCs/>
                <w:iCs/>
                <w:color w:val="000000"/>
                <w:kern w:val="0"/>
                <w:sz w:val="24"/>
              </w:rPr>
            </w:pPr>
            <w:r>
              <w:rPr>
                <w:rFonts w:hint="eastAsia" w:ascii="宋体" w:hAnsi="宋体" w:cs="宋体"/>
                <w:bCs/>
                <w:iCs/>
                <w:color w:val="000000"/>
                <w:kern w:val="0"/>
                <w:sz w:val="24"/>
              </w:rPr>
              <w:t>□新闻发布会      □路演活动</w:t>
            </w:r>
          </w:p>
          <w:p>
            <w:pPr>
              <w:tabs>
                <w:tab w:val="left" w:pos="3045"/>
                <w:tab w:val="center" w:pos="3199"/>
              </w:tabs>
              <w:spacing w:line="480" w:lineRule="atLeast"/>
              <w:rPr>
                <w:rFonts w:ascii="宋体" w:cs="宋体"/>
                <w:bCs/>
                <w:iCs/>
                <w:color w:val="000000"/>
                <w:kern w:val="0"/>
                <w:sz w:val="24"/>
              </w:rPr>
            </w:pPr>
            <w:r>
              <w:rPr>
                <w:rFonts w:hint="eastAsia" w:ascii="宋体" w:hAnsi="宋体" w:cs="宋体"/>
                <w:bCs/>
                <w:iCs/>
                <w:color w:val="000000"/>
                <w:kern w:val="0"/>
                <w:sz w:val="24"/>
              </w:rPr>
              <w:t>□现场参观</w:t>
            </w:r>
            <w:r>
              <w:rPr>
                <w:rFonts w:ascii="宋体" w:cs="宋体"/>
                <w:bCs/>
                <w:iCs/>
                <w:color w:val="000000"/>
                <w:kern w:val="0"/>
                <w:sz w:val="24"/>
              </w:rPr>
              <w:tab/>
            </w:r>
          </w:p>
          <w:p>
            <w:pPr>
              <w:tabs>
                <w:tab w:val="center" w:pos="3199"/>
              </w:tabs>
              <w:spacing w:line="480" w:lineRule="atLeast"/>
              <w:rPr>
                <w:rFonts w:ascii="宋体"/>
                <w:bCs/>
                <w:iCs/>
                <w:color w:val="000000"/>
                <w:sz w:val="24"/>
              </w:rPr>
            </w:pPr>
            <w:r>
              <w:rPr>
                <w:rFonts w:hint="eastAsia" w:ascii="宋体" w:hAnsi="宋体" w:cs="宋体"/>
                <w:bCs/>
                <w:iCs/>
                <w:color w:val="000000"/>
                <w:kern w:val="0"/>
                <w:sz w:val="24"/>
              </w:rPr>
              <w:t>□其他（电话会议）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1" w:hRule="atLeast"/>
        </w:trPr>
        <w:tc>
          <w:tcPr>
            <w:tcW w:w="1908" w:type="dxa"/>
          </w:tcPr>
          <w:p>
            <w:pPr>
              <w:spacing w:line="480" w:lineRule="atLeast"/>
              <w:rPr>
                <w:rFonts w:ascii="宋体"/>
                <w:b/>
                <w:bCs/>
                <w:iCs/>
                <w:color w:val="000000"/>
                <w:sz w:val="24"/>
              </w:rPr>
            </w:pPr>
            <w:r>
              <w:rPr>
                <w:rFonts w:hint="eastAsia" w:ascii="宋体" w:hAnsi="宋体"/>
                <w:b/>
                <w:bCs/>
                <w:iCs/>
                <w:color w:val="000000"/>
                <w:sz w:val="24"/>
              </w:rPr>
              <w:t>参与单位名称及人员姓名</w:t>
            </w:r>
          </w:p>
        </w:tc>
        <w:tc>
          <w:tcPr>
            <w:tcW w:w="6614" w:type="dxa"/>
          </w:tcPr>
          <w:p>
            <w:pPr>
              <w:widowControl/>
              <w:spacing w:line="360" w:lineRule="auto"/>
              <w:rPr>
                <w:rFonts w:ascii="宋体" w:hAnsi="宋体"/>
                <w:sz w:val="24"/>
                <w:szCs w:val="24"/>
              </w:rPr>
            </w:pPr>
            <w:r>
              <w:rPr>
                <w:rFonts w:hint="eastAsia" w:ascii="宋体" w:hAnsi="宋体"/>
                <w:sz w:val="24"/>
                <w:szCs w:val="24"/>
              </w:rPr>
              <w:t>申万宏源证券：周璞禹</w:t>
            </w:r>
          </w:p>
          <w:p>
            <w:pPr>
              <w:widowControl/>
              <w:spacing w:line="360" w:lineRule="auto"/>
              <w:rPr>
                <w:rFonts w:ascii="宋体" w:hAnsi="宋体"/>
                <w:sz w:val="24"/>
                <w:szCs w:val="24"/>
              </w:rPr>
            </w:pPr>
            <w:r>
              <w:rPr>
                <w:rFonts w:hint="eastAsia" w:ascii="宋体" w:hAnsi="宋体"/>
                <w:sz w:val="24"/>
                <w:szCs w:val="24"/>
              </w:rPr>
              <w:t>长江证券：朱桃颉</w:t>
            </w:r>
          </w:p>
          <w:p>
            <w:pPr>
              <w:widowControl/>
              <w:spacing w:line="360" w:lineRule="auto"/>
              <w:rPr>
                <w:rFonts w:ascii="宋体" w:hAnsi="宋体"/>
                <w:sz w:val="24"/>
                <w:szCs w:val="24"/>
              </w:rPr>
            </w:pPr>
            <w:r>
              <w:rPr>
                <w:rFonts w:hint="eastAsia" w:ascii="宋体" w:hAnsi="宋体"/>
                <w:sz w:val="24"/>
                <w:szCs w:val="24"/>
              </w:rPr>
              <w:t>长城资产：沈焕、戴意霖</w:t>
            </w:r>
          </w:p>
          <w:p>
            <w:pPr>
              <w:widowControl/>
              <w:spacing w:line="360" w:lineRule="auto"/>
              <w:rPr>
                <w:rFonts w:ascii="宋体" w:hAnsi="宋体"/>
                <w:sz w:val="24"/>
                <w:szCs w:val="24"/>
              </w:rPr>
            </w:pPr>
            <w:r>
              <w:rPr>
                <w:rFonts w:hint="eastAsia" w:ascii="宋体" w:hAnsi="宋体"/>
                <w:sz w:val="24"/>
                <w:szCs w:val="24"/>
              </w:rPr>
              <w:t>中兵投资：张晋</w:t>
            </w:r>
          </w:p>
          <w:p>
            <w:pPr>
              <w:widowControl/>
              <w:spacing w:line="360" w:lineRule="auto"/>
              <w:rPr>
                <w:rFonts w:ascii="宋体" w:hAnsi="宋体"/>
                <w:sz w:val="24"/>
                <w:szCs w:val="24"/>
              </w:rPr>
            </w:pPr>
            <w:r>
              <w:rPr>
                <w:rFonts w:hint="eastAsia" w:ascii="宋体" w:hAnsi="宋体"/>
                <w:sz w:val="24"/>
                <w:szCs w:val="24"/>
              </w:rPr>
              <w:t>君重资本：伏佳驹</w:t>
            </w:r>
          </w:p>
          <w:p>
            <w:pPr>
              <w:widowControl/>
              <w:spacing w:line="360" w:lineRule="auto"/>
              <w:rPr>
                <w:rFonts w:ascii="宋体" w:hAnsi="宋体"/>
                <w:sz w:val="24"/>
                <w:szCs w:val="24"/>
              </w:rPr>
            </w:pPr>
            <w:r>
              <w:rPr>
                <w:rFonts w:hint="eastAsia" w:ascii="宋体" w:hAnsi="宋体"/>
                <w:sz w:val="24"/>
                <w:szCs w:val="24"/>
              </w:rPr>
              <w:t>北京和盛乾通投资有限公司：李宁</w:t>
            </w:r>
          </w:p>
          <w:p>
            <w:pPr>
              <w:widowControl/>
              <w:spacing w:line="360" w:lineRule="auto"/>
              <w:rPr>
                <w:rFonts w:ascii="宋体" w:cs="宋体"/>
                <w:bCs/>
                <w:iCs/>
                <w:color w:val="000000"/>
                <w:kern w:val="0"/>
                <w:sz w:val="24"/>
              </w:rPr>
            </w:pPr>
            <w:r>
              <w:rPr>
                <w:rFonts w:hint="eastAsia" w:ascii="宋体" w:hAnsi="宋体"/>
                <w:sz w:val="24"/>
                <w:szCs w:val="24"/>
              </w:rPr>
              <w:t>北京福睿德投资有限公司</w:t>
            </w:r>
            <w:r>
              <w:rPr>
                <w:rFonts w:hint="eastAsia" w:ascii="宋体" w:cs="宋体"/>
                <w:bCs/>
                <w:iCs/>
                <w:color w:val="000000"/>
                <w:kern w:val="0"/>
                <w:sz w:val="24"/>
              </w:rPr>
              <w:t>：彭渝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908" w:type="dxa"/>
          </w:tcPr>
          <w:p>
            <w:pPr>
              <w:spacing w:line="480" w:lineRule="atLeast"/>
              <w:rPr>
                <w:rFonts w:ascii="宋体"/>
                <w:b/>
                <w:bCs/>
                <w:iCs/>
                <w:color w:val="000000"/>
                <w:sz w:val="24"/>
              </w:rPr>
            </w:pPr>
            <w:r>
              <w:rPr>
                <w:rFonts w:hint="eastAsia" w:ascii="宋体" w:hAnsi="宋体"/>
                <w:b/>
                <w:bCs/>
                <w:iCs/>
                <w:color w:val="000000"/>
                <w:sz w:val="24"/>
              </w:rPr>
              <w:t>时间</w:t>
            </w:r>
          </w:p>
        </w:tc>
        <w:tc>
          <w:tcPr>
            <w:tcW w:w="6614" w:type="dxa"/>
            <w:vAlign w:val="center"/>
          </w:tcPr>
          <w:p>
            <w:pPr>
              <w:spacing w:line="480" w:lineRule="atLeast"/>
              <w:rPr>
                <w:rFonts w:ascii="宋体"/>
                <w:bCs/>
                <w:iCs/>
                <w:color w:val="000000"/>
                <w:sz w:val="24"/>
              </w:rPr>
            </w:pPr>
            <w:r>
              <w:rPr>
                <w:rFonts w:ascii="宋体" w:hAnsi="宋体"/>
                <w:bCs/>
                <w:iCs/>
                <w:color w:val="000000"/>
                <w:sz w:val="24"/>
              </w:rPr>
              <w:t>2017</w:t>
            </w:r>
            <w:r>
              <w:rPr>
                <w:rFonts w:hint="eastAsia" w:ascii="宋体" w:hAnsi="宋体"/>
                <w:bCs/>
                <w:iCs/>
                <w:color w:val="000000"/>
                <w:sz w:val="24"/>
              </w:rPr>
              <w:t>年11月15日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Pr>
          <w:p>
            <w:pPr>
              <w:spacing w:line="480" w:lineRule="atLeast"/>
              <w:rPr>
                <w:rFonts w:ascii="宋体"/>
                <w:b/>
                <w:bCs/>
                <w:iCs/>
                <w:color w:val="000000"/>
                <w:sz w:val="24"/>
              </w:rPr>
            </w:pPr>
            <w:r>
              <w:rPr>
                <w:rFonts w:hint="eastAsia" w:ascii="宋体" w:hAnsi="宋体"/>
                <w:b/>
                <w:bCs/>
                <w:iCs/>
                <w:color w:val="000000"/>
                <w:sz w:val="24"/>
              </w:rPr>
              <w:t>地点</w:t>
            </w:r>
          </w:p>
        </w:tc>
        <w:tc>
          <w:tcPr>
            <w:tcW w:w="6614" w:type="dxa"/>
            <w:vAlign w:val="center"/>
          </w:tcPr>
          <w:p>
            <w:pPr>
              <w:spacing w:line="480" w:lineRule="atLeast"/>
              <w:rPr>
                <w:rFonts w:ascii="宋体"/>
                <w:bCs/>
                <w:iCs/>
                <w:color w:val="000000"/>
                <w:sz w:val="24"/>
              </w:rPr>
            </w:pPr>
            <w:r>
              <w:rPr>
                <w:rFonts w:hint="eastAsia" w:ascii="宋体" w:hAnsi="宋体"/>
                <w:bCs/>
                <w:iCs/>
                <w:color w:val="000000"/>
                <w:sz w:val="24"/>
              </w:rPr>
              <w:t>重庆力帆乘用车有限公司六楼会议室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1908" w:type="dxa"/>
          </w:tcPr>
          <w:p>
            <w:pPr>
              <w:spacing w:line="480" w:lineRule="atLeast"/>
              <w:rPr>
                <w:rFonts w:ascii="宋体"/>
                <w:b/>
                <w:bCs/>
                <w:iCs/>
                <w:color w:val="000000"/>
                <w:sz w:val="24"/>
              </w:rPr>
            </w:pPr>
            <w:r>
              <w:rPr>
                <w:rFonts w:hint="eastAsia" w:ascii="宋体" w:hAnsi="宋体"/>
                <w:b/>
                <w:bCs/>
                <w:iCs/>
                <w:color w:val="000000"/>
                <w:sz w:val="24"/>
              </w:rPr>
              <w:t>上市公司接待人员姓名</w:t>
            </w:r>
          </w:p>
        </w:tc>
        <w:tc>
          <w:tcPr>
            <w:tcW w:w="6614" w:type="dxa"/>
            <w:vAlign w:val="center"/>
          </w:tcPr>
          <w:p>
            <w:pPr>
              <w:spacing w:line="300" w:lineRule="auto"/>
              <w:rPr>
                <w:rFonts w:ascii="宋体" w:cs="Arial"/>
                <w:bCs/>
                <w:iCs/>
                <w:color w:val="000000"/>
                <w:kern w:val="0"/>
                <w:sz w:val="24"/>
                <w:szCs w:val="24"/>
              </w:rPr>
            </w:pPr>
            <w:r>
              <w:rPr>
                <w:rFonts w:hint="eastAsia" w:ascii="宋体" w:hAnsi="宋体"/>
                <w:sz w:val="24"/>
                <w:szCs w:val="24"/>
              </w:rPr>
              <w:t>董事长牟刚、副董事长陈卫、总裁马可、总会计师叶长春、董事会秘书郭剑峰、移峰能源副总经理吴基富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1908" w:type="dxa"/>
            <w:vAlign w:val="center"/>
          </w:tcPr>
          <w:p>
            <w:pPr>
              <w:adjustRightInd w:val="0"/>
              <w:snapToGrid w:val="0"/>
              <w:spacing w:line="300" w:lineRule="auto"/>
              <w:rPr>
                <w:rFonts w:ascii="宋体" w:hAnsi="宋体"/>
                <w:b/>
                <w:bCs/>
                <w:iCs/>
                <w:color w:val="000000"/>
                <w:sz w:val="24"/>
              </w:rPr>
            </w:pPr>
            <w:r>
              <w:rPr>
                <w:rFonts w:hint="eastAsia" w:ascii="宋体" w:hAnsi="宋体"/>
                <w:b/>
                <w:bCs/>
                <w:iCs/>
                <w:color w:val="000000"/>
                <w:sz w:val="24"/>
              </w:rPr>
              <w:t>投资者关系活动主要内容介绍</w:t>
            </w:r>
          </w:p>
          <w:p>
            <w:pPr>
              <w:adjustRightInd w:val="0"/>
              <w:snapToGrid w:val="0"/>
              <w:spacing w:line="300" w:lineRule="auto"/>
              <w:rPr>
                <w:rFonts w:ascii="宋体"/>
                <w:b/>
                <w:bCs/>
                <w:iCs/>
                <w:color w:val="000000"/>
                <w:sz w:val="24"/>
              </w:rPr>
            </w:pPr>
          </w:p>
        </w:tc>
        <w:tc>
          <w:tcPr>
            <w:tcW w:w="6614" w:type="dxa"/>
          </w:tcPr>
          <w:p>
            <w:pPr>
              <w:rPr>
                <w:rFonts w:ascii="宋体" w:hAnsi="宋体"/>
                <w:b/>
                <w:sz w:val="24"/>
                <w:szCs w:val="24"/>
              </w:rPr>
            </w:pPr>
            <w:r>
              <w:rPr>
                <w:rFonts w:hint="eastAsia" w:ascii="宋体" w:hAnsi="宋体"/>
                <w:b/>
                <w:sz w:val="24"/>
                <w:szCs w:val="24"/>
              </w:rPr>
              <w:t>一、新一届管理团队介绍公司未来发展计划</w:t>
            </w:r>
          </w:p>
          <w:p>
            <w:pPr>
              <w:ind w:firstLine="470" w:firstLineChars="195"/>
              <w:rPr>
                <w:rFonts w:ascii="宋体" w:hAnsi="宋体"/>
                <w:b/>
                <w:sz w:val="24"/>
                <w:szCs w:val="24"/>
              </w:rPr>
            </w:pPr>
            <w:r>
              <w:rPr>
                <w:rFonts w:hint="eastAsia" w:ascii="宋体" w:hAnsi="宋体"/>
                <w:b/>
                <w:sz w:val="24"/>
                <w:szCs w:val="24"/>
              </w:rPr>
              <w:t>1、董事长牟刚介绍公司未来工作重点</w:t>
            </w:r>
          </w:p>
          <w:p>
            <w:pPr>
              <w:ind w:firstLine="480" w:firstLineChars="200"/>
              <w:rPr>
                <w:rFonts w:ascii="宋体" w:hAnsi="宋体"/>
                <w:sz w:val="24"/>
                <w:szCs w:val="24"/>
              </w:rPr>
            </w:pPr>
            <w:r>
              <w:rPr>
                <w:rFonts w:hint="eastAsia" w:ascii="宋体" w:hAnsi="宋体"/>
                <w:sz w:val="24"/>
                <w:szCs w:val="24"/>
              </w:rPr>
              <w:t>公司未来工作重点将继续坚持发展新能源产业、稳步实现新能源战略规划落地。</w:t>
            </w:r>
          </w:p>
          <w:p>
            <w:pPr>
              <w:ind w:firstLine="240" w:firstLineChars="100"/>
              <w:rPr>
                <w:rFonts w:ascii="宋体" w:hAnsi="宋体"/>
                <w:sz w:val="24"/>
                <w:szCs w:val="24"/>
              </w:rPr>
            </w:pPr>
          </w:p>
          <w:p>
            <w:pPr>
              <w:ind w:firstLine="472" w:firstLineChars="196"/>
              <w:rPr>
                <w:rFonts w:ascii="宋体" w:hAnsi="宋体"/>
                <w:sz w:val="24"/>
                <w:szCs w:val="24"/>
              </w:rPr>
            </w:pPr>
            <w:r>
              <w:rPr>
                <w:rFonts w:hint="eastAsia" w:ascii="宋体" w:hAnsi="宋体"/>
                <w:b/>
                <w:sz w:val="24"/>
                <w:szCs w:val="24"/>
              </w:rPr>
              <w:t>2、副董事长陈卫介绍公司新能源技术发展思路</w:t>
            </w:r>
          </w:p>
          <w:p>
            <w:pPr>
              <w:ind w:firstLine="480" w:firstLineChars="200"/>
              <w:rPr>
                <w:rFonts w:ascii="宋体" w:hAnsi="宋体"/>
                <w:sz w:val="24"/>
                <w:szCs w:val="24"/>
              </w:rPr>
            </w:pPr>
            <w:r>
              <w:rPr>
                <w:rFonts w:hint="eastAsia" w:ascii="宋体" w:hAnsi="宋体"/>
                <w:sz w:val="24"/>
                <w:szCs w:val="24"/>
              </w:rPr>
              <w:t>公司新能源汽车是“换电为主、充电为辅、充换结合”的模式。公司采用分箱换电的方式，有利于延长电池使用寿命，适于电动车出租车在大型城市和中心商业区域的推广应用。公司正在研究电池的梯次利用，以提高能源和（车用）电池的使用效率。</w:t>
            </w:r>
          </w:p>
          <w:p>
            <w:pPr>
              <w:ind w:firstLine="240" w:firstLineChars="100"/>
              <w:rPr>
                <w:rFonts w:ascii="宋体" w:hAnsi="宋体"/>
                <w:sz w:val="24"/>
                <w:szCs w:val="24"/>
              </w:rPr>
            </w:pPr>
          </w:p>
          <w:p>
            <w:pPr>
              <w:ind w:firstLine="472" w:firstLineChars="196"/>
              <w:rPr>
                <w:rFonts w:ascii="宋体" w:hAnsi="宋体"/>
                <w:b/>
                <w:sz w:val="24"/>
                <w:szCs w:val="24"/>
              </w:rPr>
            </w:pPr>
            <w:r>
              <w:rPr>
                <w:rFonts w:hint="eastAsia" w:ascii="宋体" w:hAnsi="宋体"/>
                <w:b/>
                <w:sz w:val="24"/>
                <w:szCs w:val="24"/>
              </w:rPr>
              <w:t>3、总裁马可介绍公司未来经营思路</w:t>
            </w:r>
          </w:p>
          <w:p>
            <w:pPr>
              <w:ind w:firstLine="480" w:firstLineChars="200"/>
              <w:rPr>
                <w:rFonts w:ascii="宋体" w:hAnsi="宋体"/>
                <w:sz w:val="24"/>
                <w:szCs w:val="24"/>
              </w:rPr>
            </w:pPr>
            <w:r>
              <w:rPr>
                <w:rFonts w:hint="eastAsia" w:ascii="宋体" w:hAnsi="宋体"/>
                <w:sz w:val="24"/>
                <w:szCs w:val="24"/>
              </w:rPr>
              <w:t>力帆是一家以汽车板块、摩托车板块为主的集团公司。现阶段，公司摩托车板块已实现成熟发展，未来公司将重点布局汽车板块，特别是新能源汽车产业链。</w:t>
            </w:r>
          </w:p>
          <w:p>
            <w:pPr>
              <w:ind w:firstLine="480" w:firstLineChars="200"/>
              <w:rPr>
                <w:rFonts w:ascii="宋体" w:hAnsi="宋体"/>
                <w:sz w:val="24"/>
                <w:szCs w:val="24"/>
              </w:rPr>
            </w:pPr>
            <w:r>
              <w:rPr>
                <w:rFonts w:hint="eastAsia" w:ascii="宋体" w:hAnsi="宋体"/>
                <w:sz w:val="24"/>
                <w:szCs w:val="24"/>
              </w:rPr>
              <w:t>制造业是一个需要“沉淀”才能稳步发展的行业。新一届管理团队清醒的认识到未来汽车制造业将出现产能过剩、产能重组、新能源汽车补贴退坡并消失的情况。未来公司将实现差异化发展，将汽车产业“做精”和“做专”，立足于消费者需求、继续梳理和优化公司汽车产品（特别是新能源汽车产品），实现由制造业向服务业延伸。</w:t>
            </w:r>
          </w:p>
          <w:p>
            <w:pPr>
              <w:ind w:firstLine="480" w:firstLineChars="200"/>
              <w:rPr>
                <w:rFonts w:ascii="宋体" w:hAnsi="宋体"/>
                <w:sz w:val="24"/>
                <w:szCs w:val="24"/>
              </w:rPr>
            </w:pPr>
            <w:r>
              <w:rPr>
                <w:rFonts w:hint="eastAsia" w:ascii="宋体" w:hAnsi="宋体"/>
                <w:sz w:val="24"/>
                <w:szCs w:val="24"/>
              </w:rPr>
              <w:t>公司业绩增长突破口为新能源汽车产业链。（1）在原材料端，布局车用电池生产及相关产业；（2）在产品端，从明年开始公司会陆续推出多款新能源汽车；（3）在能源端，将移峰能源打造成为能源二次供给方；（4）在出行端，助力盼达用车的发展，公司也将为实现无人驾驶在新能源汽车分时租赁的推广应用而不断努力。</w:t>
            </w:r>
          </w:p>
          <w:p>
            <w:pPr>
              <w:ind w:firstLine="240" w:firstLineChars="100"/>
              <w:rPr>
                <w:rFonts w:ascii="宋体" w:hAnsi="宋体"/>
                <w:sz w:val="24"/>
                <w:szCs w:val="24"/>
              </w:rPr>
            </w:pPr>
          </w:p>
          <w:p>
            <w:pPr>
              <w:rPr>
                <w:rFonts w:ascii="宋体" w:hAnsi="宋体"/>
                <w:b/>
                <w:sz w:val="24"/>
                <w:szCs w:val="24"/>
              </w:rPr>
            </w:pPr>
            <w:r>
              <w:rPr>
                <w:rFonts w:hint="eastAsia" w:ascii="宋体" w:hAnsi="宋体"/>
                <w:b/>
                <w:sz w:val="24"/>
                <w:szCs w:val="24"/>
              </w:rPr>
              <w:t>二、投资者与公司互动交流，主要内容如下：</w:t>
            </w:r>
          </w:p>
          <w:p>
            <w:pPr>
              <w:ind w:firstLine="472" w:firstLineChars="196"/>
              <w:rPr>
                <w:rFonts w:ascii="宋体" w:hAnsi="宋体"/>
                <w:b/>
                <w:sz w:val="24"/>
                <w:szCs w:val="24"/>
              </w:rPr>
            </w:pPr>
            <w:r>
              <w:rPr>
                <w:rFonts w:hint="eastAsia" w:ascii="宋体" w:hAnsi="宋体"/>
                <w:b/>
                <w:sz w:val="24"/>
                <w:szCs w:val="24"/>
              </w:rPr>
              <w:t>1、公司未来提高新能源汽车销量的实施计划有哪些？</w:t>
            </w:r>
          </w:p>
          <w:p>
            <w:pPr>
              <w:ind w:firstLine="480" w:firstLineChars="200"/>
              <w:rPr>
                <w:rFonts w:ascii="宋体" w:hAnsi="宋体"/>
                <w:sz w:val="24"/>
                <w:szCs w:val="24"/>
              </w:rPr>
            </w:pPr>
            <w:r>
              <w:rPr>
                <w:rFonts w:hint="eastAsia" w:ascii="宋体" w:hAnsi="宋体"/>
                <w:sz w:val="24"/>
                <w:szCs w:val="24"/>
              </w:rPr>
              <w:t>回复：我们认为公司未来新能源汽车销售上量主要来自四个方面：（1）出租车、网约车市场；（2）终端销售市场；（3）盼达用车扩张的车辆需要；（</w:t>
            </w:r>
            <w:r>
              <w:rPr>
                <w:rFonts w:hint="eastAsia" w:ascii="宋体" w:hAnsi="宋体"/>
                <w:sz w:val="24"/>
                <w:szCs w:val="24"/>
                <w:lang w:val="en-US" w:eastAsia="zh-CN"/>
              </w:rPr>
              <w:t>4</w:t>
            </w:r>
            <w:bookmarkStart w:id="0" w:name="_GoBack"/>
            <w:bookmarkEnd w:id="0"/>
            <w:r>
              <w:rPr>
                <w:rFonts w:hint="eastAsia" w:ascii="宋体" w:hAnsi="宋体"/>
                <w:sz w:val="24"/>
                <w:szCs w:val="24"/>
              </w:rPr>
              <w:t>）电动物流车市场。</w:t>
            </w:r>
          </w:p>
          <w:p>
            <w:pPr>
              <w:rPr>
                <w:rFonts w:ascii="宋体" w:hAnsi="宋体"/>
                <w:b/>
                <w:sz w:val="24"/>
                <w:szCs w:val="24"/>
              </w:rPr>
            </w:pPr>
          </w:p>
          <w:p>
            <w:pPr>
              <w:ind w:firstLine="472" w:firstLineChars="196"/>
              <w:rPr>
                <w:rFonts w:ascii="宋体" w:hAnsi="宋体"/>
                <w:b/>
                <w:sz w:val="24"/>
                <w:szCs w:val="24"/>
              </w:rPr>
            </w:pPr>
            <w:r>
              <w:rPr>
                <w:rFonts w:hint="eastAsia" w:ascii="宋体" w:hAnsi="宋体"/>
                <w:b/>
                <w:sz w:val="24"/>
                <w:szCs w:val="24"/>
              </w:rPr>
              <w:t>2、2017年公司新能源汽车销量的影响因素有哪些？</w:t>
            </w:r>
          </w:p>
          <w:p>
            <w:pPr>
              <w:ind w:firstLine="480" w:firstLineChars="200"/>
              <w:rPr>
                <w:rFonts w:ascii="宋体" w:hAnsi="宋体"/>
                <w:sz w:val="24"/>
                <w:szCs w:val="24"/>
              </w:rPr>
            </w:pPr>
            <w:r>
              <w:rPr>
                <w:rFonts w:hint="eastAsia" w:ascii="宋体" w:hAnsi="宋体"/>
                <w:sz w:val="24"/>
                <w:szCs w:val="24"/>
              </w:rPr>
              <w:t>回复：主要影响因素有：（1）2017年5月工信部才恢复公司新能源汽车补贴申报资质，对公司新能源汽车生产和销售有一定影响。（2）今年国家对新能源汽车的产品标准进行了多次更新，公司产品公告更新需要时间，也对新能源产品销售造成了影响。</w:t>
            </w:r>
          </w:p>
          <w:p>
            <w:pPr>
              <w:ind w:firstLine="240" w:firstLineChars="100"/>
              <w:rPr>
                <w:rFonts w:ascii="宋体" w:hAnsi="宋体"/>
                <w:sz w:val="24"/>
                <w:szCs w:val="24"/>
              </w:rPr>
            </w:pPr>
          </w:p>
          <w:p>
            <w:pPr>
              <w:ind w:firstLine="472" w:firstLineChars="196"/>
              <w:rPr>
                <w:rFonts w:ascii="宋体" w:hAnsi="宋体"/>
                <w:b/>
                <w:sz w:val="24"/>
                <w:szCs w:val="24"/>
              </w:rPr>
            </w:pPr>
            <w:r>
              <w:rPr>
                <w:rFonts w:hint="eastAsia" w:ascii="宋体" w:hAnsi="宋体"/>
                <w:b/>
                <w:sz w:val="24"/>
                <w:szCs w:val="24"/>
              </w:rPr>
              <w:t>3、盼达用车现有运营地区有哪些？</w:t>
            </w:r>
          </w:p>
          <w:p>
            <w:pPr>
              <w:ind w:firstLine="480" w:firstLineChars="200"/>
              <w:rPr>
                <w:rFonts w:ascii="宋体" w:hAnsi="宋体"/>
                <w:sz w:val="24"/>
                <w:szCs w:val="24"/>
              </w:rPr>
            </w:pPr>
            <w:r>
              <w:rPr>
                <w:rFonts w:hint="eastAsia" w:ascii="宋体" w:hAnsi="宋体"/>
                <w:sz w:val="24"/>
                <w:szCs w:val="24"/>
              </w:rPr>
              <w:t>回复：目前，盼达用车主要运营区域为：重庆、成都、杭州、济源、郑州、绵阳。</w:t>
            </w:r>
          </w:p>
          <w:p>
            <w:pPr>
              <w:ind w:firstLine="240" w:firstLineChars="100"/>
              <w:rPr>
                <w:rFonts w:ascii="宋体" w:hAnsi="宋体"/>
                <w:sz w:val="24"/>
                <w:szCs w:val="24"/>
              </w:rPr>
            </w:pPr>
          </w:p>
          <w:p>
            <w:pPr>
              <w:ind w:firstLine="472" w:firstLineChars="196"/>
              <w:rPr>
                <w:rFonts w:ascii="宋体" w:hAnsi="宋体"/>
                <w:b/>
                <w:sz w:val="24"/>
                <w:szCs w:val="24"/>
              </w:rPr>
            </w:pPr>
            <w:r>
              <w:rPr>
                <w:rFonts w:hint="eastAsia" w:ascii="宋体" w:hAnsi="宋体"/>
                <w:b/>
                <w:sz w:val="24"/>
                <w:szCs w:val="24"/>
              </w:rPr>
              <w:t>4、公司未来新产品发布计划有哪些？</w:t>
            </w:r>
          </w:p>
          <w:p>
            <w:pPr>
              <w:ind w:firstLine="480" w:firstLineChars="200"/>
              <w:rPr>
                <w:rFonts w:ascii="宋体" w:hAnsi="宋体"/>
                <w:sz w:val="24"/>
                <w:szCs w:val="24"/>
              </w:rPr>
            </w:pPr>
            <w:r>
              <w:rPr>
                <w:rFonts w:hint="eastAsia" w:ascii="宋体" w:hAnsi="宋体"/>
                <w:sz w:val="24"/>
                <w:szCs w:val="24"/>
              </w:rPr>
              <w:t>回复：公司在2017年初发布的新品受市场欢迎。未来公司新品将通过提升产品颜值、增强品质可靠性、实现公司品牌与客户互动等方式探寻和发展“爆款”产品。</w:t>
            </w:r>
          </w:p>
          <w:p>
            <w:pPr>
              <w:ind w:firstLine="240" w:firstLineChars="100"/>
              <w:rPr>
                <w:rFonts w:ascii="宋体" w:hAnsi="宋体"/>
                <w:sz w:val="24"/>
                <w:szCs w:val="24"/>
              </w:rPr>
            </w:pPr>
          </w:p>
          <w:p>
            <w:pPr>
              <w:ind w:firstLine="472" w:firstLineChars="196"/>
              <w:rPr>
                <w:rFonts w:ascii="宋体" w:hAnsi="宋体"/>
                <w:b/>
                <w:sz w:val="24"/>
                <w:szCs w:val="24"/>
              </w:rPr>
            </w:pPr>
            <w:r>
              <w:rPr>
                <w:rFonts w:hint="eastAsia" w:ascii="宋体" w:hAnsi="宋体"/>
                <w:b/>
                <w:sz w:val="24"/>
                <w:szCs w:val="24"/>
              </w:rPr>
              <w:t>5、盼达用车未来扩展计划有哪些？</w:t>
            </w:r>
          </w:p>
          <w:p>
            <w:pPr>
              <w:ind w:firstLine="480" w:firstLineChars="200"/>
              <w:rPr>
                <w:rFonts w:ascii="宋体" w:hAnsi="宋体"/>
                <w:sz w:val="24"/>
                <w:szCs w:val="24"/>
              </w:rPr>
            </w:pPr>
            <w:r>
              <w:rPr>
                <w:rFonts w:hint="eastAsia" w:ascii="宋体" w:hAnsi="宋体"/>
                <w:sz w:val="24"/>
                <w:szCs w:val="24"/>
              </w:rPr>
              <w:t>回复：目前，盼达用车将继续“渗透”现有运营区域，提高车辆运营密度。在“做透”现有运营区域后，再考虑“复制”成功经验进行扩展。</w:t>
            </w:r>
          </w:p>
          <w:p>
            <w:pPr>
              <w:ind w:firstLine="480" w:firstLineChars="200"/>
              <w:rPr>
                <w:rFonts w:ascii="宋体" w:hAnsi="宋体"/>
                <w:sz w:val="24"/>
                <w:szCs w:val="24"/>
              </w:rPr>
            </w:pPr>
          </w:p>
          <w:p>
            <w:pPr>
              <w:ind w:firstLine="472" w:firstLineChars="196"/>
              <w:rPr>
                <w:rFonts w:ascii="宋体" w:hAnsi="宋体"/>
                <w:b/>
                <w:sz w:val="24"/>
                <w:szCs w:val="24"/>
              </w:rPr>
            </w:pPr>
            <w:r>
              <w:rPr>
                <w:rFonts w:hint="eastAsia" w:ascii="宋体" w:hAnsi="宋体"/>
                <w:b/>
                <w:sz w:val="24"/>
                <w:szCs w:val="24"/>
              </w:rPr>
              <w:t>6、盼达未来投放车辆与原款（现有车型）一致吗？</w:t>
            </w:r>
          </w:p>
          <w:p>
            <w:pPr>
              <w:ind w:firstLine="480" w:firstLineChars="200"/>
              <w:rPr>
                <w:rFonts w:ascii="宋体" w:hAnsi="宋体"/>
                <w:sz w:val="24"/>
                <w:szCs w:val="24"/>
              </w:rPr>
            </w:pPr>
            <w:r>
              <w:rPr>
                <w:rFonts w:ascii="宋体" w:hAnsi="宋体"/>
                <w:sz w:val="24"/>
                <w:szCs w:val="24"/>
              </w:rPr>
              <w:t>回复：未来盼达投放车辆的330EV外观与现有营运车辆一致，但新投放车辆的内饰和搭载技术将会提升；同时，针对分时租赁运营的新车型也在研发中。</w:t>
            </w:r>
          </w:p>
          <w:p>
            <w:pPr>
              <w:ind w:firstLine="240" w:firstLineChars="100"/>
              <w:rPr>
                <w:rFonts w:ascii="宋体" w:hAnsi="宋体"/>
                <w:sz w:val="24"/>
                <w:szCs w:val="24"/>
              </w:rPr>
            </w:pPr>
          </w:p>
          <w:p>
            <w:pPr>
              <w:ind w:firstLine="472" w:firstLineChars="196"/>
              <w:rPr>
                <w:rFonts w:ascii="宋体" w:hAnsi="宋体"/>
                <w:b/>
                <w:sz w:val="24"/>
                <w:szCs w:val="24"/>
              </w:rPr>
            </w:pPr>
            <w:r>
              <w:rPr>
                <w:rFonts w:hint="eastAsia" w:ascii="宋体" w:hAnsi="宋体"/>
                <w:b/>
                <w:sz w:val="24"/>
                <w:szCs w:val="24"/>
              </w:rPr>
              <w:t>7、请介绍电池标准化相关情况？</w:t>
            </w:r>
          </w:p>
          <w:p>
            <w:pPr>
              <w:ind w:firstLine="480" w:firstLineChars="200"/>
              <w:rPr>
                <w:rFonts w:ascii="宋体" w:hAnsi="宋体"/>
                <w:sz w:val="24"/>
                <w:szCs w:val="24"/>
              </w:rPr>
            </w:pPr>
            <w:r>
              <w:rPr>
                <w:rFonts w:hint="eastAsia" w:ascii="宋体" w:hAnsi="宋体"/>
                <w:sz w:val="24"/>
                <w:szCs w:val="24"/>
              </w:rPr>
              <w:t>回复：（车用）电池标准统一可解决产品一致性问题、不同厂家产品兼容性问题，有利于换电模式电动车的推广应用。公司正在关注并积极参与电池标准制定工作。</w:t>
            </w:r>
          </w:p>
          <w:p>
            <w:pPr>
              <w:ind w:firstLine="240" w:firstLineChars="100"/>
              <w:rPr>
                <w:rFonts w:ascii="宋体" w:hAnsi="宋体"/>
                <w:sz w:val="24"/>
                <w:szCs w:val="24"/>
              </w:rPr>
            </w:pPr>
          </w:p>
          <w:p>
            <w:pPr>
              <w:ind w:firstLine="472" w:firstLineChars="196"/>
              <w:rPr>
                <w:rFonts w:ascii="宋体" w:hAnsi="宋体"/>
                <w:b/>
                <w:sz w:val="24"/>
                <w:szCs w:val="24"/>
              </w:rPr>
            </w:pPr>
            <w:r>
              <w:rPr>
                <w:rFonts w:hint="eastAsia" w:ascii="宋体" w:hAnsi="宋体"/>
                <w:b/>
                <w:sz w:val="24"/>
                <w:szCs w:val="24"/>
              </w:rPr>
              <w:t>8、盼达的车辆供应商有哪些？</w:t>
            </w:r>
          </w:p>
          <w:p>
            <w:pPr>
              <w:widowControl/>
              <w:shd w:val="clear" w:color="auto" w:fill="FFFFFF"/>
              <w:adjustRightInd w:val="0"/>
              <w:snapToGrid w:val="0"/>
              <w:spacing w:line="300" w:lineRule="auto"/>
              <w:ind w:firstLine="480" w:firstLineChars="200"/>
              <w:rPr>
                <w:rFonts w:ascii="宋体" w:hAnsi="宋体" w:cs="Arial"/>
                <w:bCs/>
                <w:iCs/>
                <w:color w:val="000000"/>
                <w:kern w:val="0"/>
                <w:sz w:val="24"/>
                <w:szCs w:val="24"/>
              </w:rPr>
            </w:pPr>
            <w:r>
              <w:rPr>
                <w:rFonts w:hint="eastAsia" w:ascii="宋体" w:hAnsi="宋体"/>
                <w:sz w:val="24"/>
                <w:szCs w:val="24"/>
              </w:rPr>
              <w:t>回复：目前力帆是盼达的主要车辆供应商。如未来盼达急速扩张，也会新增其他车辆供应商。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908" w:type="dxa"/>
            <w:vAlign w:val="center"/>
          </w:tcPr>
          <w:p>
            <w:pPr>
              <w:adjustRightInd w:val="0"/>
              <w:snapToGrid w:val="0"/>
              <w:spacing w:line="300" w:lineRule="auto"/>
              <w:jc w:val="both"/>
              <w:rPr>
                <w:rFonts w:ascii="宋体"/>
                <w:b/>
                <w:bCs/>
                <w:iCs/>
                <w:color w:val="000000"/>
                <w:sz w:val="24"/>
              </w:rPr>
            </w:pPr>
            <w:r>
              <w:rPr>
                <w:rFonts w:hint="eastAsia" w:ascii="宋体" w:hAnsi="宋体"/>
                <w:b/>
                <w:bCs/>
                <w:iCs/>
                <w:color w:val="000000"/>
                <w:sz w:val="24"/>
              </w:rPr>
              <w:t>附件清单</w:t>
            </w:r>
          </w:p>
        </w:tc>
        <w:tc>
          <w:tcPr>
            <w:tcW w:w="6614" w:type="dxa"/>
            <w:vAlign w:val="center"/>
          </w:tcPr>
          <w:p>
            <w:pPr>
              <w:adjustRightInd w:val="0"/>
              <w:snapToGrid w:val="0"/>
              <w:spacing w:line="300" w:lineRule="auto"/>
              <w:jc w:val="both"/>
              <w:rPr>
                <w:rFonts w:ascii="宋体"/>
                <w:bCs/>
                <w:iCs/>
                <w:color w:val="000000"/>
                <w:sz w:val="24"/>
              </w:rPr>
            </w:pPr>
            <w:r>
              <w:rPr>
                <w:rFonts w:hint="eastAsia" w:ascii="宋体" w:hAnsi="宋体"/>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1908" w:type="dxa"/>
            <w:vAlign w:val="center"/>
          </w:tcPr>
          <w:p>
            <w:pPr>
              <w:adjustRightInd w:val="0"/>
              <w:snapToGrid w:val="0"/>
              <w:spacing w:line="300" w:lineRule="auto"/>
              <w:jc w:val="both"/>
              <w:rPr>
                <w:rFonts w:ascii="宋体"/>
                <w:b/>
                <w:bCs/>
                <w:iCs/>
                <w:color w:val="000000"/>
                <w:sz w:val="24"/>
              </w:rPr>
            </w:pPr>
            <w:r>
              <w:rPr>
                <w:rFonts w:hint="eastAsia" w:ascii="宋体" w:hAnsi="宋体"/>
                <w:b/>
                <w:bCs/>
                <w:iCs/>
                <w:color w:val="000000"/>
                <w:sz w:val="24"/>
              </w:rPr>
              <w:t>日期</w:t>
            </w:r>
          </w:p>
        </w:tc>
        <w:tc>
          <w:tcPr>
            <w:tcW w:w="6614" w:type="dxa"/>
            <w:vAlign w:val="center"/>
          </w:tcPr>
          <w:p>
            <w:pPr>
              <w:adjustRightInd w:val="0"/>
              <w:snapToGrid w:val="0"/>
              <w:spacing w:line="300" w:lineRule="auto"/>
              <w:jc w:val="both"/>
              <w:rPr>
                <w:rFonts w:ascii="宋体"/>
                <w:bCs/>
                <w:iCs/>
                <w:color w:val="000000"/>
                <w:sz w:val="24"/>
              </w:rPr>
            </w:pPr>
            <w:r>
              <w:rPr>
                <w:rFonts w:ascii="宋体" w:hAnsi="宋体"/>
                <w:bCs/>
                <w:iCs/>
                <w:color w:val="000000"/>
                <w:sz w:val="24"/>
              </w:rPr>
              <w:t>2017</w:t>
            </w:r>
            <w:r>
              <w:rPr>
                <w:rFonts w:hint="eastAsia" w:ascii="宋体" w:hAnsi="宋体"/>
                <w:bCs/>
                <w:iCs/>
                <w:color w:val="000000"/>
                <w:sz w:val="24"/>
              </w:rPr>
              <w:t>年11月15日</w:t>
            </w:r>
          </w:p>
        </w:tc>
      </w:tr>
    </w:tbl>
    <w:p>
      <w:pPr>
        <w:adjustRightInd w:val="0"/>
        <w:snapToGrid w:val="0"/>
        <w:spacing w:line="300" w:lineRule="auto"/>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Arial">
    <w:panose1 w:val="020B0604020202020204"/>
    <w:charset w:val="00"/>
    <w:family w:val="swiss"/>
    <w:pitch w:val="default"/>
    <w:sig w:usb0="00007A87" w:usb1="80000000" w:usb2="00000008" w:usb3="00000000" w:csb0="400001FF" w:csb1="FFFF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4</w:t>
    </w:r>
    <w:r>
      <w:rPr>
        <w:rStyle w:val="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C166B"/>
    <w:rsid w:val="0001341D"/>
    <w:rsid w:val="0002086D"/>
    <w:rsid w:val="000660A4"/>
    <w:rsid w:val="000712A4"/>
    <w:rsid w:val="00074455"/>
    <w:rsid w:val="00093C72"/>
    <w:rsid w:val="000971D9"/>
    <w:rsid w:val="000B0A36"/>
    <w:rsid w:val="000B2112"/>
    <w:rsid w:val="000C4BC6"/>
    <w:rsid w:val="000D60C2"/>
    <w:rsid w:val="000E7865"/>
    <w:rsid w:val="000E7BE1"/>
    <w:rsid w:val="00105F4E"/>
    <w:rsid w:val="0012464C"/>
    <w:rsid w:val="00137ABA"/>
    <w:rsid w:val="00140055"/>
    <w:rsid w:val="00154AA5"/>
    <w:rsid w:val="0016722F"/>
    <w:rsid w:val="00170D53"/>
    <w:rsid w:val="001A12CF"/>
    <w:rsid w:val="001A5037"/>
    <w:rsid w:val="001B1D4B"/>
    <w:rsid w:val="001B3AF0"/>
    <w:rsid w:val="001C4089"/>
    <w:rsid w:val="001E2D1B"/>
    <w:rsid w:val="001E6D7E"/>
    <w:rsid w:val="001F6DF9"/>
    <w:rsid w:val="00211B57"/>
    <w:rsid w:val="002401F1"/>
    <w:rsid w:val="0024287B"/>
    <w:rsid w:val="00250239"/>
    <w:rsid w:val="00252935"/>
    <w:rsid w:val="002574D7"/>
    <w:rsid w:val="00287A5A"/>
    <w:rsid w:val="002940BE"/>
    <w:rsid w:val="002A5348"/>
    <w:rsid w:val="002B10D6"/>
    <w:rsid w:val="002D3FF4"/>
    <w:rsid w:val="002E160E"/>
    <w:rsid w:val="002F105D"/>
    <w:rsid w:val="00302CF8"/>
    <w:rsid w:val="00317633"/>
    <w:rsid w:val="00364412"/>
    <w:rsid w:val="0037781E"/>
    <w:rsid w:val="00383195"/>
    <w:rsid w:val="00395847"/>
    <w:rsid w:val="003A4981"/>
    <w:rsid w:val="003A7939"/>
    <w:rsid w:val="003B71FF"/>
    <w:rsid w:val="003C2E60"/>
    <w:rsid w:val="003D0158"/>
    <w:rsid w:val="003D1507"/>
    <w:rsid w:val="003D493C"/>
    <w:rsid w:val="004349B2"/>
    <w:rsid w:val="00436450"/>
    <w:rsid w:val="0043728F"/>
    <w:rsid w:val="004643F1"/>
    <w:rsid w:val="0048259B"/>
    <w:rsid w:val="00483E2F"/>
    <w:rsid w:val="00484E49"/>
    <w:rsid w:val="00491C09"/>
    <w:rsid w:val="004A76DA"/>
    <w:rsid w:val="004C1E61"/>
    <w:rsid w:val="004C28B7"/>
    <w:rsid w:val="004C4F32"/>
    <w:rsid w:val="004D1BA0"/>
    <w:rsid w:val="004D1D72"/>
    <w:rsid w:val="004D5448"/>
    <w:rsid w:val="00526D42"/>
    <w:rsid w:val="005349A2"/>
    <w:rsid w:val="005350A8"/>
    <w:rsid w:val="00592F17"/>
    <w:rsid w:val="005A5BFB"/>
    <w:rsid w:val="005A7BFF"/>
    <w:rsid w:val="005B4214"/>
    <w:rsid w:val="005C5A14"/>
    <w:rsid w:val="005D0548"/>
    <w:rsid w:val="005E6C05"/>
    <w:rsid w:val="005F7A68"/>
    <w:rsid w:val="00606CA0"/>
    <w:rsid w:val="00665937"/>
    <w:rsid w:val="006A2BA5"/>
    <w:rsid w:val="006A796A"/>
    <w:rsid w:val="006B14F6"/>
    <w:rsid w:val="006B3FB5"/>
    <w:rsid w:val="006C19CB"/>
    <w:rsid w:val="006D1018"/>
    <w:rsid w:val="006D2B95"/>
    <w:rsid w:val="007062E3"/>
    <w:rsid w:val="007159C3"/>
    <w:rsid w:val="00721496"/>
    <w:rsid w:val="00737058"/>
    <w:rsid w:val="007B0C14"/>
    <w:rsid w:val="007B4E53"/>
    <w:rsid w:val="007B60F8"/>
    <w:rsid w:val="007E3680"/>
    <w:rsid w:val="007F2C0A"/>
    <w:rsid w:val="007F63E4"/>
    <w:rsid w:val="00825AC4"/>
    <w:rsid w:val="008322FC"/>
    <w:rsid w:val="008917F7"/>
    <w:rsid w:val="00892209"/>
    <w:rsid w:val="00896F1C"/>
    <w:rsid w:val="008A186F"/>
    <w:rsid w:val="008C3916"/>
    <w:rsid w:val="008D0C34"/>
    <w:rsid w:val="008D2BAA"/>
    <w:rsid w:val="008F6F5F"/>
    <w:rsid w:val="009403F5"/>
    <w:rsid w:val="009423C7"/>
    <w:rsid w:val="00950819"/>
    <w:rsid w:val="0095238C"/>
    <w:rsid w:val="00972B1C"/>
    <w:rsid w:val="00974890"/>
    <w:rsid w:val="009816F8"/>
    <w:rsid w:val="00990FCF"/>
    <w:rsid w:val="009B2DAE"/>
    <w:rsid w:val="009D4AB5"/>
    <w:rsid w:val="009D6051"/>
    <w:rsid w:val="00A05721"/>
    <w:rsid w:val="00A37636"/>
    <w:rsid w:val="00A46ECE"/>
    <w:rsid w:val="00A47E4D"/>
    <w:rsid w:val="00A74198"/>
    <w:rsid w:val="00AA0B7F"/>
    <w:rsid w:val="00AA0E83"/>
    <w:rsid w:val="00AA77CE"/>
    <w:rsid w:val="00AE56F2"/>
    <w:rsid w:val="00AF23FF"/>
    <w:rsid w:val="00AF3042"/>
    <w:rsid w:val="00B0277B"/>
    <w:rsid w:val="00B06DCD"/>
    <w:rsid w:val="00B27C59"/>
    <w:rsid w:val="00B763BB"/>
    <w:rsid w:val="00B958B9"/>
    <w:rsid w:val="00BA2334"/>
    <w:rsid w:val="00BA7B69"/>
    <w:rsid w:val="00BC69C8"/>
    <w:rsid w:val="00BF2E50"/>
    <w:rsid w:val="00C23FBA"/>
    <w:rsid w:val="00C40110"/>
    <w:rsid w:val="00C57226"/>
    <w:rsid w:val="00C774FF"/>
    <w:rsid w:val="00C9042F"/>
    <w:rsid w:val="00C935CC"/>
    <w:rsid w:val="00CB4BDA"/>
    <w:rsid w:val="00CB7CD2"/>
    <w:rsid w:val="00CC159D"/>
    <w:rsid w:val="00CD4867"/>
    <w:rsid w:val="00CF25FD"/>
    <w:rsid w:val="00D0757A"/>
    <w:rsid w:val="00D36139"/>
    <w:rsid w:val="00D417C3"/>
    <w:rsid w:val="00D42815"/>
    <w:rsid w:val="00D5713C"/>
    <w:rsid w:val="00D623F7"/>
    <w:rsid w:val="00D70C72"/>
    <w:rsid w:val="00D768BE"/>
    <w:rsid w:val="00DC0DF8"/>
    <w:rsid w:val="00DC166B"/>
    <w:rsid w:val="00E24B81"/>
    <w:rsid w:val="00E2788C"/>
    <w:rsid w:val="00E5407F"/>
    <w:rsid w:val="00E57BB1"/>
    <w:rsid w:val="00E65513"/>
    <w:rsid w:val="00E757F9"/>
    <w:rsid w:val="00E75C0C"/>
    <w:rsid w:val="00E852C0"/>
    <w:rsid w:val="00E92BCB"/>
    <w:rsid w:val="00E92EE5"/>
    <w:rsid w:val="00E95D08"/>
    <w:rsid w:val="00EA5649"/>
    <w:rsid w:val="00ED6540"/>
    <w:rsid w:val="00ED7516"/>
    <w:rsid w:val="00ED7EBB"/>
    <w:rsid w:val="00F15766"/>
    <w:rsid w:val="00F15E9E"/>
    <w:rsid w:val="00F2214D"/>
    <w:rsid w:val="00F3043A"/>
    <w:rsid w:val="00F31704"/>
    <w:rsid w:val="00F351C2"/>
    <w:rsid w:val="00F61A0C"/>
    <w:rsid w:val="00F65430"/>
    <w:rsid w:val="00F7066B"/>
    <w:rsid w:val="00F849C7"/>
    <w:rsid w:val="00F93E44"/>
    <w:rsid w:val="00FA7086"/>
    <w:rsid w:val="00FB7BF1"/>
    <w:rsid w:val="00FE3214"/>
    <w:rsid w:val="0DB91EA9"/>
    <w:rsid w:val="528251D8"/>
    <w:rsid w:val="7DA6145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semiHidden="0"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unhideWhenUsed/>
    <w:uiPriority w:val="99"/>
    <w:rPr>
      <w:b/>
      <w:bCs/>
    </w:rPr>
  </w:style>
  <w:style w:type="paragraph" w:styleId="3">
    <w:name w:val="annotation text"/>
    <w:basedOn w:val="1"/>
    <w:link w:val="15"/>
    <w:unhideWhenUsed/>
    <w:uiPriority w:val="99"/>
  </w:style>
  <w:style w:type="paragraph" w:styleId="4">
    <w:name w:val="Balloon Text"/>
    <w:basedOn w:val="1"/>
    <w:link w:val="17"/>
    <w:unhideWhenUsed/>
    <w:uiPriority w:val="99"/>
    <w:pPr>
      <w:spacing w:after="0" w:line="240" w:lineRule="auto"/>
    </w:pPr>
    <w:rPr>
      <w:sz w:val="18"/>
      <w:szCs w:val="18"/>
    </w:rPr>
  </w:style>
  <w:style w:type="paragraph" w:styleId="5">
    <w:name w:val="footer"/>
    <w:basedOn w:val="1"/>
    <w:link w:val="12"/>
    <w:qFormat/>
    <w:uiPriority w:val="99"/>
    <w:pPr>
      <w:tabs>
        <w:tab w:val="center" w:pos="4153"/>
        <w:tab w:val="right" w:pos="8306"/>
      </w:tabs>
      <w:snapToGrid w:val="0"/>
      <w:spacing w:after="0" w:line="240" w:lineRule="auto"/>
    </w:pPr>
    <w:rPr>
      <w:sz w:val="18"/>
      <w:szCs w:val="18"/>
    </w:rPr>
  </w:style>
  <w:style w:type="paragraph" w:styleId="6">
    <w:name w:val="header"/>
    <w:basedOn w:val="1"/>
    <w:link w:val="11"/>
    <w:uiPriority w:val="99"/>
    <w:pPr>
      <w:pBdr>
        <w:bottom w:val="single" w:color="auto" w:sz="6" w:space="1"/>
      </w:pBdr>
      <w:tabs>
        <w:tab w:val="center" w:pos="4153"/>
        <w:tab w:val="right" w:pos="8306"/>
      </w:tabs>
      <w:snapToGrid w:val="0"/>
      <w:spacing w:after="0" w:line="240" w:lineRule="auto"/>
      <w:jc w:val="center"/>
    </w:pPr>
    <w:rPr>
      <w:sz w:val="18"/>
      <w:szCs w:val="18"/>
    </w:rPr>
  </w:style>
  <w:style w:type="character" w:styleId="8">
    <w:name w:val="page number"/>
    <w:uiPriority w:val="99"/>
    <w:rPr>
      <w:rFonts w:cs="Times New Roman"/>
    </w:rPr>
  </w:style>
  <w:style w:type="character" w:styleId="9">
    <w:name w:val="annotation reference"/>
    <w:basedOn w:val="7"/>
    <w:unhideWhenUsed/>
    <w:uiPriority w:val="99"/>
    <w:rPr>
      <w:sz w:val="21"/>
      <w:szCs w:val="21"/>
    </w:rPr>
  </w:style>
  <w:style w:type="character" w:customStyle="1" w:styleId="11">
    <w:name w:val="页眉 Char"/>
    <w:link w:val="6"/>
    <w:locked/>
    <w:uiPriority w:val="99"/>
    <w:rPr>
      <w:rFonts w:cs="Times New Roman"/>
      <w:sz w:val="18"/>
      <w:szCs w:val="18"/>
    </w:rPr>
  </w:style>
  <w:style w:type="character" w:customStyle="1" w:styleId="12">
    <w:name w:val="页脚 Char"/>
    <w:link w:val="5"/>
    <w:qFormat/>
    <w:locked/>
    <w:uiPriority w:val="99"/>
    <w:rPr>
      <w:rFonts w:cs="Times New Roman"/>
      <w:sz w:val="18"/>
      <w:szCs w:val="18"/>
    </w:rPr>
  </w:style>
  <w:style w:type="paragraph" w:styleId="13">
    <w:name w:val="List Paragraph"/>
    <w:basedOn w:val="1"/>
    <w:qFormat/>
    <w:uiPriority w:val="99"/>
    <w:pPr>
      <w:ind w:firstLine="420" w:firstLineChars="200"/>
    </w:pPr>
  </w:style>
  <w:style w:type="character" w:customStyle="1" w:styleId="14">
    <w:name w:val="apple-converted-space"/>
    <w:qFormat/>
    <w:uiPriority w:val="99"/>
    <w:rPr>
      <w:rFonts w:cs="Times New Roman"/>
    </w:rPr>
  </w:style>
  <w:style w:type="character" w:customStyle="1" w:styleId="15">
    <w:name w:val="批注文字 Char"/>
    <w:basedOn w:val="7"/>
    <w:link w:val="3"/>
    <w:semiHidden/>
    <w:uiPriority w:val="99"/>
    <w:rPr>
      <w:kern w:val="2"/>
      <w:sz w:val="21"/>
      <w:szCs w:val="22"/>
    </w:rPr>
  </w:style>
  <w:style w:type="character" w:customStyle="1" w:styleId="16">
    <w:name w:val="批注主题 Char"/>
    <w:basedOn w:val="15"/>
    <w:link w:val="2"/>
    <w:semiHidden/>
    <w:uiPriority w:val="99"/>
    <w:rPr>
      <w:b/>
      <w:bCs/>
    </w:rPr>
  </w:style>
  <w:style w:type="character" w:customStyle="1" w:styleId="17">
    <w:name w:val="批注框文本 Char"/>
    <w:basedOn w:val="7"/>
    <w:link w:val="4"/>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259</Words>
  <Characters>1479</Characters>
  <Lines>12</Lines>
  <Paragraphs>3</Paragraphs>
  <TotalTime>0</TotalTime>
  <ScaleCrop>false</ScaleCrop>
  <LinksUpToDate>false</LinksUpToDate>
  <CharactersWithSpaces>1735</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2017-11-16T09:32:00Z</dcterms:created>
  <dc:creator>joker</dc:creator>
  <cp:lastModifiedBy>jingjely</cp:lastModifiedBy>
  <dcterms:modified xsi:type="dcterms:W3CDTF">2017-11-20T08:21:37Z</dcterms:modified>
  <dc:title>上海维宏电子科技股份有限公司投资者关系活动记录表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