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44" w:rsidRPr="00DA1244" w:rsidRDefault="00DA1244">
      <w:pPr>
        <w:spacing w:beforeLines="50" w:before="156" w:afterLines="50" w:after="156" w:line="400" w:lineRule="exact"/>
        <w:jc w:val="center"/>
        <w:rPr>
          <w:rFonts w:ascii="宋体" w:hAnsi="宋体"/>
          <w:b/>
          <w:bCs/>
          <w:iCs/>
          <w:color w:val="FF0000"/>
          <w:sz w:val="28"/>
          <w:szCs w:val="24"/>
        </w:rPr>
      </w:pPr>
      <w:r w:rsidRPr="00DA1244">
        <w:rPr>
          <w:rFonts w:ascii="宋体" w:hAnsi="宋体" w:hint="eastAsia"/>
          <w:b/>
          <w:bCs/>
          <w:iCs/>
          <w:color w:val="FF0000"/>
          <w:sz w:val="28"/>
          <w:szCs w:val="24"/>
        </w:rPr>
        <w:t>广东原尚</w:t>
      </w:r>
      <w:r w:rsidRPr="00DA1244">
        <w:rPr>
          <w:rFonts w:ascii="宋体" w:hAnsi="宋体"/>
          <w:b/>
          <w:bCs/>
          <w:iCs/>
          <w:color w:val="FF0000"/>
          <w:sz w:val="28"/>
          <w:szCs w:val="24"/>
        </w:rPr>
        <w:t>物流股份有限公司</w:t>
      </w:r>
    </w:p>
    <w:p w:rsidR="00E0677D" w:rsidRPr="00DA1244" w:rsidRDefault="007E334D">
      <w:pPr>
        <w:spacing w:beforeLines="50" w:before="156" w:afterLines="50" w:after="156" w:line="400" w:lineRule="exact"/>
        <w:jc w:val="center"/>
        <w:rPr>
          <w:rFonts w:ascii="宋体" w:hAnsi="宋体"/>
          <w:b/>
          <w:bCs/>
          <w:iCs/>
          <w:color w:val="FF0000"/>
          <w:sz w:val="28"/>
          <w:szCs w:val="24"/>
        </w:rPr>
      </w:pPr>
      <w:r w:rsidRPr="00DA1244">
        <w:rPr>
          <w:rFonts w:ascii="宋体" w:hAnsi="宋体" w:hint="eastAsia"/>
          <w:b/>
          <w:bCs/>
          <w:iCs/>
          <w:color w:val="FF0000"/>
          <w:sz w:val="28"/>
          <w:szCs w:val="24"/>
        </w:rPr>
        <w:t>投资者关系活动记录表</w:t>
      </w:r>
    </w:p>
    <w:p w:rsidR="00E0677D" w:rsidRDefault="007E334D">
      <w:pPr>
        <w:spacing w:line="400" w:lineRule="exact"/>
        <w:rPr>
          <w:rFonts w:ascii="宋体" w:hAnsi="宋体"/>
          <w:bCs/>
          <w:iCs/>
          <w:sz w:val="24"/>
          <w:szCs w:val="24"/>
        </w:rPr>
      </w:pPr>
      <w:r>
        <w:rPr>
          <w:rFonts w:ascii="宋体" w:hAnsi="宋体" w:hint="eastAsia"/>
          <w:bCs/>
          <w:iCs/>
          <w:sz w:val="24"/>
          <w:szCs w:val="24"/>
        </w:rPr>
        <w:t xml:space="preserve">                   </w:t>
      </w:r>
      <w:r w:rsidR="00FC29B2">
        <w:rPr>
          <w:rFonts w:ascii="宋体" w:hAnsi="宋体" w:hint="eastAsia"/>
          <w:bCs/>
          <w:iCs/>
          <w:sz w:val="24"/>
          <w:szCs w:val="24"/>
        </w:rPr>
        <w:t xml:space="preserve">                           </w:t>
      </w:r>
      <w:r>
        <w:rPr>
          <w:rFonts w:ascii="宋体" w:hAnsi="宋体" w:hint="eastAsia"/>
          <w:bCs/>
          <w:iCs/>
          <w:sz w:val="24"/>
          <w:szCs w:val="24"/>
        </w:rPr>
        <w:t>编号：</w:t>
      </w:r>
      <w:r w:rsidR="00FC29B2">
        <w:rPr>
          <w:rFonts w:ascii="宋体" w:hAnsi="宋体" w:hint="eastAsia"/>
          <w:bCs/>
          <w:iCs/>
          <w:sz w:val="24"/>
          <w:szCs w:val="24"/>
        </w:rPr>
        <w:t>GS</w:t>
      </w:r>
      <w:r w:rsidR="00FC29B2">
        <w:rPr>
          <w:rFonts w:ascii="宋体" w:hAnsi="宋体"/>
          <w:bCs/>
          <w:iCs/>
          <w:sz w:val="24"/>
          <w:szCs w:val="24"/>
        </w:rPr>
        <w:t>L</w:t>
      </w:r>
      <w:r w:rsidR="007D371E">
        <w:rPr>
          <w:rFonts w:ascii="宋体" w:hAnsi="宋体" w:hint="eastAsia"/>
          <w:bCs/>
          <w:iCs/>
          <w:sz w:val="24"/>
          <w:szCs w:val="24"/>
        </w:rPr>
        <w:t>2017</w:t>
      </w:r>
      <w:r w:rsidR="007D371E">
        <w:rPr>
          <w:rFonts w:ascii="宋体" w:hAnsi="宋体"/>
          <w:bCs/>
          <w:iCs/>
          <w:sz w:val="24"/>
          <w:szCs w:val="24"/>
        </w:rPr>
        <w:t>-00</w:t>
      </w:r>
      <w:r w:rsidR="009F4FEE">
        <w:rPr>
          <w:rFonts w:ascii="宋体" w:hAnsi="宋体"/>
          <w:bCs/>
          <w:iCs/>
          <w:sz w:val="24"/>
          <w:szCs w:val="24"/>
        </w:rPr>
        <w:t>3</w:t>
      </w: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943"/>
      </w:tblGrid>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投资者关系活动类别</w:t>
            </w:r>
          </w:p>
          <w:p w:rsidR="00E0677D" w:rsidRDefault="00E0677D">
            <w:pPr>
              <w:spacing w:line="480" w:lineRule="atLeast"/>
              <w:rPr>
                <w:rFonts w:ascii="宋体" w:hAnsi="宋体"/>
                <w:b/>
                <w:bCs/>
                <w:iCs/>
                <w:sz w:val="24"/>
                <w:szCs w:val="24"/>
              </w:rPr>
            </w:pPr>
          </w:p>
        </w:tc>
        <w:tc>
          <w:tcPr>
            <w:tcW w:w="5943" w:type="dxa"/>
            <w:shd w:val="clear" w:color="auto" w:fill="auto"/>
          </w:tcPr>
          <w:p w:rsidR="00E0677D" w:rsidRDefault="007E334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E0677D" w:rsidRDefault="007E334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E0677D" w:rsidRDefault="007E334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E0677D" w:rsidRDefault="007E334D">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E0677D" w:rsidRDefault="007E334D">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5943" w:type="dxa"/>
            <w:shd w:val="clear" w:color="auto" w:fill="auto"/>
          </w:tcPr>
          <w:p w:rsidR="00E0677D" w:rsidRDefault="00456D83" w:rsidP="00947DE7">
            <w:pPr>
              <w:spacing w:line="480" w:lineRule="atLeast"/>
              <w:rPr>
                <w:rFonts w:hint="eastAsia"/>
              </w:rPr>
            </w:pPr>
            <w:r>
              <w:rPr>
                <w:rFonts w:ascii="Verdana" w:hAnsi="Verdana"/>
                <w:color w:val="000000"/>
                <w:sz w:val="24"/>
                <w:szCs w:val="21"/>
                <w:shd w:val="clear" w:color="auto" w:fill="FFFFFF"/>
              </w:rPr>
              <w:t>万联证券</w:t>
            </w:r>
            <w:r w:rsidR="009F4FEE" w:rsidRPr="00943EDB">
              <w:rPr>
                <w:rFonts w:ascii="Verdana" w:hAnsi="Verdana" w:hint="eastAsia"/>
                <w:color w:val="000000"/>
                <w:sz w:val="24"/>
                <w:szCs w:val="21"/>
                <w:shd w:val="clear" w:color="auto" w:fill="FFFFFF"/>
              </w:rPr>
              <w:t>方利平</w:t>
            </w:r>
            <w:r>
              <w:rPr>
                <w:rFonts w:ascii="Verdana" w:hAnsi="Verdana" w:hint="eastAsia"/>
                <w:color w:val="000000"/>
                <w:sz w:val="24"/>
                <w:szCs w:val="21"/>
                <w:shd w:val="clear" w:color="auto" w:fill="FFFFFF"/>
              </w:rPr>
              <w:t>；</w:t>
            </w:r>
            <w:r>
              <w:rPr>
                <w:rFonts w:ascii="Verdana" w:hAnsi="Verdana"/>
                <w:color w:val="000000"/>
                <w:sz w:val="24"/>
                <w:szCs w:val="21"/>
                <w:shd w:val="clear" w:color="auto" w:fill="FFFFFF"/>
              </w:rPr>
              <w:t>万联证券</w:t>
            </w:r>
            <w:bookmarkStart w:id="0" w:name="_GoBack"/>
            <w:bookmarkEnd w:id="0"/>
            <w:r>
              <w:rPr>
                <w:rFonts w:ascii="Verdana" w:hAnsi="Verdana"/>
                <w:color w:val="000000"/>
                <w:sz w:val="24"/>
                <w:szCs w:val="21"/>
                <w:shd w:val="clear" w:color="auto" w:fill="FFFFFF"/>
              </w:rPr>
              <w:t>杜国铭</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时间</w:t>
            </w:r>
          </w:p>
        </w:tc>
        <w:tc>
          <w:tcPr>
            <w:tcW w:w="5943" w:type="dxa"/>
            <w:shd w:val="clear" w:color="auto" w:fill="auto"/>
          </w:tcPr>
          <w:p w:rsidR="00E0677D" w:rsidRDefault="00DA1244" w:rsidP="009F4FEE">
            <w:pPr>
              <w:spacing w:line="480" w:lineRule="atLeast"/>
              <w:rPr>
                <w:rFonts w:ascii="宋体" w:hAnsi="宋体"/>
                <w:bCs/>
                <w:iCs/>
                <w:sz w:val="24"/>
                <w:szCs w:val="24"/>
              </w:rPr>
            </w:pPr>
            <w:r>
              <w:rPr>
                <w:rFonts w:ascii="宋体" w:hAnsi="宋体" w:hint="eastAsia"/>
                <w:bCs/>
                <w:iCs/>
                <w:sz w:val="24"/>
                <w:szCs w:val="24"/>
              </w:rPr>
              <w:t>2017年1</w:t>
            </w:r>
            <w:r w:rsidR="009F4FEE">
              <w:rPr>
                <w:rFonts w:ascii="宋体" w:hAnsi="宋体"/>
                <w:bCs/>
                <w:iCs/>
                <w:sz w:val="24"/>
                <w:szCs w:val="24"/>
              </w:rPr>
              <w:t>2</w:t>
            </w:r>
            <w:r>
              <w:rPr>
                <w:rFonts w:ascii="宋体" w:hAnsi="宋体" w:hint="eastAsia"/>
                <w:bCs/>
                <w:iCs/>
                <w:sz w:val="24"/>
                <w:szCs w:val="24"/>
              </w:rPr>
              <w:t>月</w:t>
            </w:r>
            <w:r w:rsidR="009F4FEE">
              <w:rPr>
                <w:rFonts w:ascii="宋体" w:hAnsi="宋体"/>
                <w:bCs/>
                <w:iCs/>
                <w:sz w:val="24"/>
                <w:szCs w:val="24"/>
              </w:rPr>
              <w:t>13</w:t>
            </w:r>
            <w:r>
              <w:rPr>
                <w:rFonts w:ascii="宋体" w:hAnsi="宋体" w:hint="eastAsia"/>
                <w:bCs/>
                <w:iCs/>
                <w:sz w:val="24"/>
                <w:szCs w:val="24"/>
              </w:rPr>
              <w:t>日</w:t>
            </w:r>
            <w:r>
              <w:rPr>
                <w:rFonts w:ascii="宋体" w:hAnsi="宋体"/>
                <w:bCs/>
                <w:iCs/>
                <w:sz w:val="24"/>
                <w:szCs w:val="24"/>
              </w:rPr>
              <w:t>下午</w:t>
            </w:r>
            <w:r w:rsidR="009F4FEE">
              <w:rPr>
                <w:rFonts w:ascii="宋体" w:hAnsi="宋体"/>
                <w:bCs/>
                <w:iCs/>
                <w:sz w:val="24"/>
                <w:szCs w:val="24"/>
              </w:rPr>
              <w:t>14</w:t>
            </w:r>
            <w:r w:rsidR="009F4FEE">
              <w:rPr>
                <w:rFonts w:ascii="宋体" w:hAnsi="宋体" w:hint="eastAsia"/>
                <w:bCs/>
                <w:iCs/>
                <w:sz w:val="24"/>
                <w:szCs w:val="24"/>
              </w:rPr>
              <w:t>:00</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地点</w:t>
            </w:r>
          </w:p>
        </w:tc>
        <w:tc>
          <w:tcPr>
            <w:tcW w:w="5943" w:type="dxa"/>
            <w:shd w:val="clear" w:color="auto" w:fill="auto"/>
          </w:tcPr>
          <w:p w:rsidR="00E0677D" w:rsidRDefault="00DA1244">
            <w:pPr>
              <w:spacing w:line="480" w:lineRule="atLeast"/>
              <w:rPr>
                <w:rFonts w:ascii="宋体" w:hAnsi="宋体"/>
                <w:bCs/>
                <w:iCs/>
                <w:sz w:val="24"/>
                <w:szCs w:val="24"/>
              </w:rPr>
            </w:pPr>
            <w:r>
              <w:rPr>
                <w:rFonts w:ascii="宋体" w:hAnsi="宋体" w:hint="eastAsia"/>
                <w:bCs/>
                <w:iCs/>
                <w:sz w:val="24"/>
                <w:szCs w:val="24"/>
              </w:rPr>
              <w:t>广州市</w:t>
            </w:r>
            <w:r>
              <w:rPr>
                <w:rFonts w:ascii="宋体" w:hAnsi="宋体"/>
                <w:bCs/>
                <w:iCs/>
                <w:sz w:val="24"/>
                <w:szCs w:val="24"/>
              </w:rPr>
              <w:t>增城区</w:t>
            </w:r>
            <w:r>
              <w:rPr>
                <w:rFonts w:ascii="宋体" w:hAnsi="宋体" w:hint="eastAsia"/>
                <w:bCs/>
                <w:iCs/>
                <w:sz w:val="24"/>
                <w:szCs w:val="24"/>
              </w:rPr>
              <w:t>永宁</w:t>
            </w:r>
            <w:proofErr w:type="gramStart"/>
            <w:r>
              <w:rPr>
                <w:rFonts w:ascii="宋体" w:hAnsi="宋体" w:hint="eastAsia"/>
                <w:bCs/>
                <w:iCs/>
                <w:sz w:val="24"/>
                <w:szCs w:val="24"/>
              </w:rPr>
              <w:t>街</w:t>
            </w:r>
            <w:r>
              <w:rPr>
                <w:rFonts w:ascii="宋体" w:hAnsi="宋体"/>
                <w:bCs/>
                <w:iCs/>
                <w:sz w:val="24"/>
                <w:szCs w:val="24"/>
              </w:rPr>
              <w:t>创业</w:t>
            </w:r>
            <w:proofErr w:type="gramEnd"/>
            <w:r>
              <w:rPr>
                <w:rFonts w:ascii="宋体" w:hAnsi="宋体"/>
                <w:bCs/>
                <w:iCs/>
                <w:sz w:val="24"/>
                <w:szCs w:val="24"/>
              </w:rPr>
              <w:t>大道</w:t>
            </w:r>
            <w:r>
              <w:rPr>
                <w:rFonts w:ascii="宋体" w:hAnsi="宋体" w:hint="eastAsia"/>
                <w:bCs/>
                <w:iCs/>
                <w:sz w:val="24"/>
                <w:szCs w:val="24"/>
              </w:rPr>
              <w:t>128号</w:t>
            </w:r>
            <w:r>
              <w:rPr>
                <w:rFonts w:ascii="宋体" w:hAnsi="宋体"/>
                <w:bCs/>
                <w:iCs/>
                <w:sz w:val="24"/>
                <w:szCs w:val="24"/>
              </w:rPr>
              <w:t>公司</w:t>
            </w:r>
            <w:r>
              <w:rPr>
                <w:rFonts w:ascii="宋体" w:hAnsi="宋体" w:hint="eastAsia"/>
                <w:bCs/>
                <w:iCs/>
                <w:sz w:val="24"/>
                <w:szCs w:val="24"/>
              </w:rPr>
              <w:t>二楼</w:t>
            </w:r>
            <w:r>
              <w:rPr>
                <w:rFonts w:ascii="宋体" w:hAnsi="宋体"/>
                <w:bCs/>
                <w:iCs/>
                <w:sz w:val="24"/>
                <w:szCs w:val="24"/>
              </w:rPr>
              <w:t>会议室</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5943" w:type="dxa"/>
            <w:shd w:val="clear" w:color="auto" w:fill="auto"/>
          </w:tcPr>
          <w:p w:rsidR="00E0677D" w:rsidRDefault="002D1265" w:rsidP="00F13E46">
            <w:pPr>
              <w:spacing w:line="480" w:lineRule="atLeast"/>
              <w:rPr>
                <w:rFonts w:ascii="宋体" w:hAnsi="宋体" w:hint="eastAsia"/>
                <w:bCs/>
                <w:iCs/>
                <w:sz w:val="24"/>
                <w:szCs w:val="24"/>
              </w:rPr>
            </w:pPr>
            <w:r>
              <w:rPr>
                <w:rFonts w:ascii="宋体" w:hAnsi="宋体"/>
                <w:bCs/>
                <w:iCs/>
                <w:sz w:val="24"/>
                <w:szCs w:val="24"/>
              </w:rPr>
              <w:t>财务总监</w:t>
            </w:r>
            <w:r>
              <w:rPr>
                <w:rFonts w:ascii="宋体" w:hAnsi="宋体" w:hint="eastAsia"/>
                <w:bCs/>
                <w:iCs/>
                <w:sz w:val="24"/>
                <w:szCs w:val="24"/>
              </w:rPr>
              <w:t>、</w:t>
            </w:r>
            <w:proofErr w:type="gramStart"/>
            <w:r w:rsidR="00DA1244">
              <w:rPr>
                <w:rFonts w:ascii="宋体" w:hAnsi="宋体" w:hint="eastAsia"/>
                <w:bCs/>
                <w:iCs/>
                <w:sz w:val="24"/>
                <w:szCs w:val="24"/>
              </w:rPr>
              <w:t>副总</w:t>
            </w:r>
            <w:r w:rsidR="00DA1244">
              <w:rPr>
                <w:rFonts w:ascii="宋体" w:hAnsi="宋体"/>
                <w:bCs/>
                <w:iCs/>
                <w:sz w:val="24"/>
                <w:szCs w:val="24"/>
              </w:rPr>
              <w:t>兼</w:t>
            </w:r>
            <w:proofErr w:type="gramEnd"/>
            <w:r w:rsidR="00DA1244">
              <w:rPr>
                <w:rFonts w:ascii="宋体" w:hAnsi="宋体" w:hint="eastAsia"/>
                <w:bCs/>
                <w:iCs/>
                <w:sz w:val="24"/>
                <w:szCs w:val="24"/>
              </w:rPr>
              <w:t>董事会</w:t>
            </w:r>
            <w:r w:rsidR="00DA1244">
              <w:rPr>
                <w:rFonts w:ascii="宋体" w:hAnsi="宋体"/>
                <w:bCs/>
                <w:iCs/>
                <w:sz w:val="24"/>
                <w:szCs w:val="24"/>
              </w:rPr>
              <w:t>秘书李运</w:t>
            </w:r>
            <w:r w:rsidR="009F4FEE">
              <w:rPr>
                <w:rFonts w:ascii="宋体" w:hAnsi="宋体" w:hint="eastAsia"/>
                <w:bCs/>
                <w:iCs/>
                <w:sz w:val="24"/>
                <w:szCs w:val="24"/>
              </w:rPr>
              <w:t>；</w:t>
            </w:r>
            <w:r w:rsidR="009F4FEE">
              <w:rPr>
                <w:rFonts w:ascii="宋体" w:hAnsi="宋体"/>
                <w:bCs/>
                <w:iCs/>
                <w:sz w:val="24"/>
                <w:szCs w:val="24"/>
              </w:rPr>
              <w:t>证券事务代表钟情思</w:t>
            </w:r>
          </w:p>
        </w:tc>
      </w:tr>
      <w:tr w:rsidR="00E0677D" w:rsidTr="00947DE7">
        <w:trPr>
          <w:trHeight w:val="1757"/>
          <w:jc w:val="center"/>
        </w:trPr>
        <w:tc>
          <w:tcPr>
            <w:tcW w:w="1730" w:type="dxa"/>
            <w:shd w:val="clear" w:color="auto" w:fill="auto"/>
            <w:vAlign w:val="center"/>
          </w:tcPr>
          <w:p w:rsidR="00E0677D" w:rsidRDefault="007E334D">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E0677D" w:rsidRDefault="00E0677D">
            <w:pPr>
              <w:spacing w:line="480" w:lineRule="atLeast"/>
              <w:rPr>
                <w:rFonts w:ascii="宋体" w:hAnsi="宋体"/>
                <w:b/>
                <w:bCs/>
                <w:iCs/>
                <w:sz w:val="24"/>
                <w:szCs w:val="24"/>
              </w:rPr>
            </w:pPr>
          </w:p>
        </w:tc>
        <w:tc>
          <w:tcPr>
            <w:tcW w:w="5943" w:type="dxa"/>
            <w:shd w:val="clear" w:color="auto" w:fill="auto"/>
          </w:tcPr>
          <w:p w:rsidR="00465489" w:rsidRPr="00947DE7" w:rsidRDefault="00DA1244" w:rsidP="00947DE7">
            <w:pPr>
              <w:pStyle w:val="a6"/>
              <w:numPr>
                <w:ilvl w:val="0"/>
                <w:numId w:val="4"/>
              </w:numPr>
              <w:tabs>
                <w:tab w:val="left" w:pos="1296"/>
              </w:tabs>
              <w:spacing w:line="360" w:lineRule="auto"/>
              <w:ind w:firstLineChars="0"/>
              <w:rPr>
                <w:rFonts w:asciiTheme="majorEastAsia" w:eastAsiaTheme="majorEastAsia" w:hAnsiTheme="majorEastAsia" w:cs="Arial"/>
                <w:b/>
                <w:kern w:val="0"/>
                <w:sz w:val="22"/>
                <w:szCs w:val="21"/>
              </w:rPr>
            </w:pPr>
            <w:r w:rsidRPr="00947DE7">
              <w:rPr>
                <w:rFonts w:asciiTheme="majorEastAsia" w:eastAsiaTheme="majorEastAsia" w:hAnsiTheme="majorEastAsia" w:cs="Arial"/>
                <w:b/>
                <w:kern w:val="0"/>
                <w:sz w:val="22"/>
                <w:szCs w:val="21"/>
              </w:rPr>
              <w:t>公司</w:t>
            </w:r>
            <w:r w:rsidRPr="00947DE7">
              <w:rPr>
                <w:rFonts w:asciiTheme="majorEastAsia" w:eastAsiaTheme="majorEastAsia" w:hAnsiTheme="majorEastAsia" w:cs="Arial" w:hint="eastAsia"/>
                <w:b/>
                <w:kern w:val="0"/>
                <w:sz w:val="22"/>
                <w:szCs w:val="21"/>
              </w:rPr>
              <w:t>李运李总介绍</w:t>
            </w:r>
            <w:r w:rsidRPr="00947DE7">
              <w:rPr>
                <w:rFonts w:asciiTheme="majorEastAsia" w:eastAsiaTheme="majorEastAsia" w:hAnsiTheme="majorEastAsia" w:cs="Arial"/>
                <w:b/>
                <w:kern w:val="0"/>
                <w:sz w:val="22"/>
                <w:szCs w:val="21"/>
              </w:rPr>
              <w:t>公司</w:t>
            </w:r>
            <w:r w:rsidRPr="00947DE7">
              <w:rPr>
                <w:rFonts w:asciiTheme="majorEastAsia" w:eastAsiaTheme="majorEastAsia" w:hAnsiTheme="majorEastAsia" w:cs="Arial" w:hint="eastAsia"/>
                <w:b/>
                <w:kern w:val="0"/>
                <w:sz w:val="22"/>
                <w:szCs w:val="21"/>
              </w:rPr>
              <w:t>基本</w:t>
            </w:r>
            <w:r w:rsidR="00947DE7" w:rsidRPr="00947DE7">
              <w:rPr>
                <w:rFonts w:asciiTheme="majorEastAsia" w:eastAsiaTheme="majorEastAsia" w:hAnsiTheme="majorEastAsia" w:cs="Arial" w:hint="eastAsia"/>
                <w:b/>
                <w:kern w:val="0"/>
                <w:sz w:val="22"/>
                <w:szCs w:val="21"/>
              </w:rPr>
              <w:t>情况</w:t>
            </w:r>
          </w:p>
          <w:p w:rsidR="00DA1244" w:rsidRPr="00947DE7" w:rsidRDefault="00DA1244" w:rsidP="00DA1244">
            <w:pPr>
              <w:widowControl/>
              <w:jc w:val="left"/>
              <w:rPr>
                <w:rFonts w:asciiTheme="majorEastAsia" w:eastAsiaTheme="majorEastAsia" w:hAnsiTheme="majorEastAsia" w:cs="Arial"/>
                <w:b/>
                <w:kern w:val="0"/>
                <w:sz w:val="22"/>
                <w:szCs w:val="21"/>
              </w:rPr>
            </w:pPr>
            <w:r w:rsidRPr="00947DE7">
              <w:rPr>
                <w:rFonts w:asciiTheme="majorEastAsia" w:eastAsiaTheme="majorEastAsia" w:hAnsiTheme="majorEastAsia" w:cs="Arial" w:hint="eastAsia"/>
                <w:b/>
                <w:kern w:val="0"/>
                <w:sz w:val="22"/>
                <w:szCs w:val="21"/>
              </w:rPr>
              <w:t>二</w:t>
            </w:r>
            <w:r w:rsidRPr="00947DE7">
              <w:rPr>
                <w:rFonts w:asciiTheme="majorEastAsia" w:eastAsiaTheme="majorEastAsia" w:hAnsiTheme="majorEastAsia" w:cs="Arial"/>
                <w:b/>
                <w:kern w:val="0"/>
                <w:sz w:val="22"/>
                <w:szCs w:val="21"/>
              </w:rPr>
              <w:t>、投资者交流环节</w:t>
            </w:r>
          </w:p>
          <w:p w:rsidR="00542D40" w:rsidRPr="00D608AF" w:rsidRDefault="00542D40" w:rsidP="00D608AF">
            <w:pPr>
              <w:widowControl/>
              <w:shd w:val="clear" w:color="auto" w:fill="FFFFFF"/>
              <w:jc w:val="left"/>
              <w:rPr>
                <w:rFonts w:asciiTheme="majorEastAsia" w:eastAsiaTheme="majorEastAsia" w:hAnsiTheme="majorEastAsia" w:cs="Arial" w:hint="eastAsia"/>
                <w:b/>
                <w:kern w:val="0"/>
                <w:sz w:val="22"/>
                <w:szCs w:val="21"/>
              </w:rPr>
            </w:pPr>
          </w:p>
          <w:p w:rsidR="009F4FEE" w:rsidRDefault="009F4FEE" w:rsidP="009F4FEE">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9F4FEE">
              <w:rPr>
                <w:rFonts w:asciiTheme="majorEastAsia" w:eastAsiaTheme="majorEastAsia" w:hAnsiTheme="majorEastAsia" w:cs="Arial" w:hint="eastAsia"/>
                <w:b/>
                <w:kern w:val="0"/>
                <w:sz w:val="22"/>
                <w:szCs w:val="21"/>
              </w:rPr>
              <w:t>公司今年第四季度的业务发展形势如何？</w:t>
            </w:r>
          </w:p>
          <w:p w:rsidR="00041FA9" w:rsidRPr="00456D83" w:rsidRDefault="00041FA9" w:rsidP="00456D83">
            <w:pPr>
              <w:pStyle w:val="a6"/>
              <w:widowControl/>
              <w:shd w:val="clear" w:color="auto" w:fill="FFFFFF"/>
              <w:ind w:left="360" w:firstLineChars="0" w:firstLine="0"/>
              <w:jc w:val="left"/>
              <w:rPr>
                <w:rFonts w:asciiTheme="majorEastAsia" w:eastAsiaTheme="majorEastAsia" w:hAnsiTheme="majorEastAsia" w:cs="Arial" w:hint="eastAsia"/>
                <w:b/>
                <w:kern w:val="0"/>
                <w:sz w:val="22"/>
                <w:szCs w:val="21"/>
              </w:rPr>
            </w:pPr>
            <w:r w:rsidRPr="00456D83">
              <w:rPr>
                <w:rFonts w:asciiTheme="majorEastAsia" w:eastAsiaTheme="majorEastAsia" w:hAnsiTheme="majorEastAsia" w:cs="Arial" w:hint="eastAsia"/>
                <w:b/>
                <w:kern w:val="0"/>
                <w:sz w:val="22"/>
                <w:szCs w:val="21"/>
              </w:rPr>
              <w:t>回复：</w:t>
            </w:r>
            <w:r w:rsidR="0014019B" w:rsidRPr="00456D83">
              <w:rPr>
                <w:rFonts w:asciiTheme="majorEastAsia" w:eastAsiaTheme="majorEastAsia" w:hAnsiTheme="majorEastAsia" w:cs="Arial" w:hint="eastAsia"/>
                <w:kern w:val="0"/>
                <w:sz w:val="22"/>
                <w:szCs w:val="21"/>
              </w:rPr>
              <w:t>公司今年</w:t>
            </w:r>
            <w:r w:rsidR="0014019B" w:rsidRPr="00456D83">
              <w:rPr>
                <w:rFonts w:asciiTheme="majorEastAsia" w:eastAsiaTheme="majorEastAsia" w:hAnsiTheme="majorEastAsia" w:cs="Arial"/>
                <w:kern w:val="0"/>
                <w:sz w:val="22"/>
                <w:szCs w:val="21"/>
              </w:rPr>
              <w:t>第四季度业务发展正常。</w:t>
            </w:r>
          </w:p>
          <w:p w:rsidR="00542D40" w:rsidRPr="009F4FEE" w:rsidRDefault="00542D40" w:rsidP="00041FA9">
            <w:pPr>
              <w:pStyle w:val="a6"/>
              <w:widowControl/>
              <w:shd w:val="clear" w:color="auto" w:fill="FFFFFF"/>
              <w:ind w:left="360" w:firstLineChars="0" w:firstLine="0"/>
              <w:jc w:val="left"/>
              <w:rPr>
                <w:rFonts w:asciiTheme="majorEastAsia" w:eastAsiaTheme="majorEastAsia" w:hAnsiTheme="majorEastAsia" w:cs="Arial" w:hint="eastAsia"/>
                <w:b/>
                <w:kern w:val="0"/>
                <w:sz w:val="22"/>
                <w:szCs w:val="21"/>
              </w:rPr>
            </w:pPr>
          </w:p>
          <w:p w:rsidR="009F4FEE" w:rsidRDefault="009F4FEE" w:rsidP="009F4FEE">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9F4FEE">
              <w:rPr>
                <w:rFonts w:asciiTheme="majorEastAsia" w:eastAsiaTheme="majorEastAsia" w:hAnsiTheme="majorEastAsia" w:cs="Arial" w:hint="eastAsia"/>
                <w:b/>
                <w:kern w:val="0"/>
                <w:sz w:val="22"/>
                <w:szCs w:val="21"/>
              </w:rPr>
              <w:t>公司客户集中度风险较高，目前有无分散风险的具体规划？</w:t>
            </w:r>
          </w:p>
          <w:p w:rsidR="00943EDB" w:rsidRPr="00276A80" w:rsidRDefault="00041FA9" w:rsidP="00943EDB">
            <w:pPr>
              <w:widowControl/>
              <w:spacing w:beforeLines="50" w:before="156" w:afterLines="50" w:after="156" w:line="360" w:lineRule="auto"/>
              <w:ind w:firstLineChars="200" w:firstLine="442"/>
              <w:rPr>
                <w:kern w:val="0"/>
                <w:sz w:val="24"/>
                <w:szCs w:val="24"/>
              </w:rPr>
            </w:pPr>
            <w:r>
              <w:rPr>
                <w:rFonts w:asciiTheme="majorEastAsia" w:eastAsiaTheme="majorEastAsia" w:hAnsiTheme="majorEastAsia" w:cs="Arial" w:hint="eastAsia"/>
                <w:b/>
                <w:kern w:val="0"/>
                <w:sz w:val="22"/>
                <w:szCs w:val="21"/>
              </w:rPr>
              <w:t>回复：</w:t>
            </w:r>
            <w:r w:rsidR="00943EDB" w:rsidRPr="00276A80">
              <w:rPr>
                <w:kern w:val="0"/>
                <w:sz w:val="24"/>
                <w:szCs w:val="24"/>
              </w:rPr>
              <w:t>公司在非汽车零配件物流配送业务也已取得了一定突破</w:t>
            </w:r>
            <w:r w:rsidR="00943EDB" w:rsidRPr="00276A80">
              <w:rPr>
                <w:sz w:val="24"/>
                <w:szCs w:val="24"/>
              </w:rPr>
              <w:t>，</w:t>
            </w:r>
            <w:r w:rsidR="00943EDB">
              <w:rPr>
                <w:kern w:val="0"/>
                <w:sz w:val="24"/>
              </w:rPr>
              <w:t>公司</w:t>
            </w:r>
            <w:r w:rsidR="00943EDB" w:rsidRPr="00276A80">
              <w:rPr>
                <w:kern w:val="0"/>
                <w:sz w:val="24"/>
              </w:rPr>
              <w:t>在华南地区开发了快递物流业务，主要客户为顺丰、京东；</w:t>
            </w:r>
            <w:r w:rsidR="00943EDB">
              <w:rPr>
                <w:kern w:val="0"/>
                <w:sz w:val="24"/>
              </w:rPr>
              <w:t>公司</w:t>
            </w:r>
            <w:r w:rsidR="00943EDB" w:rsidRPr="00276A80">
              <w:rPr>
                <w:kern w:val="0"/>
                <w:sz w:val="24"/>
              </w:rPr>
              <w:t>在华中地区和华南地区开发了冷链物流业务，主要客户为百胜餐饮、卜蜂莲花</w:t>
            </w:r>
            <w:r w:rsidR="00943EDB">
              <w:rPr>
                <w:rFonts w:hint="eastAsia"/>
                <w:kern w:val="0"/>
                <w:sz w:val="24"/>
              </w:rPr>
              <w:t>；</w:t>
            </w:r>
            <w:r w:rsidR="00943EDB">
              <w:rPr>
                <w:kern w:val="0"/>
                <w:sz w:val="24"/>
              </w:rPr>
              <w:t>公司</w:t>
            </w:r>
            <w:r w:rsidR="00943EDB" w:rsidRPr="00276A80">
              <w:rPr>
                <w:kern w:val="0"/>
                <w:sz w:val="24"/>
              </w:rPr>
              <w:t>在广州至上海或武汉方向的线路上集拼了部分非汽车客户的货物，主要包括金发科技、摩恩卫浴、顺丰等。</w:t>
            </w:r>
          </w:p>
          <w:p w:rsidR="00943EDB" w:rsidRDefault="00943EDB" w:rsidP="00943EDB">
            <w:pPr>
              <w:widowControl/>
              <w:spacing w:beforeLines="50" w:before="156" w:afterLines="50" w:after="156" w:line="360" w:lineRule="auto"/>
              <w:ind w:firstLineChars="200" w:firstLine="480"/>
              <w:rPr>
                <w:kern w:val="0"/>
                <w:sz w:val="24"/>
                <w:szCs w:val="24"/>
              </w:rPr>
            </w:pPr>
            <w:r w:rsidRPr="00276A80">
              <w:rPr>
                <w:kern w:val="0"/>
                <w:sz w:val="24"/>
                <w:szCs w:val="24"/>
              </w:rPr>
              <w:t>公司已在天津、合肥以及重庆购买土地并新建物流基地为业务扩张</w:t>
            </w:r>
            <w:proofErr w:type="gramStart"/>
            <w:r w:rsidRPr="00276A80">
              <w:rPr>
                <w:kern w:val="0"/>
                <w:sz w:val="24"/>
                <w:szCs w:val="24"/>
              </w:rPr>
              <w:t>作准备</w:t>
            </w:r>
            <w:proofErr w:type="gramEnd"/>
            <w:r w:rsidRPr="00276A80">
              <w:rPr>
                <w:kern w:val="0"/>
                <w:sz w:val="24"/>
                <w:szCs w:val="24"/>
              </w:rPr>
              <w:t>。随着</w:t>
            </w:r>
            <w:r>
              <w:rPr>
                <w:kern w:val="0"/>
                <w:sz w:val="24"/>
                <w:szCs w:val="24"/>
              </w:rPr>
              <w:t>物流基地的陆续使用，</w:t>
            </w:r>
            <w:r>
              <w:rPr>
                <w:rFonts w:hint="eastAsia"/>
                <w:kern w:val="0"/>
                <w:sz w:val="24"/>
                <w:szCs w:val="24"/>
              </w:rPr>
              <w:t>公</w:t>
            </w:r>
            <w:r>
              <w:rPr>
                <w:rFonts w:hint="eastAsia"/>
                <w:kern w:val="0"/>
                <w:sz w:val="24"/>
                <w:szCs w:val="24"/>
              </w:rPr>
              <w:lastRenderedPageBreak/>
              <w:t>司</w:t>
            </w:r>
            <w:r>
              <w:rPr>
                <w:kern w:val="0"/>
                <w:sz w:val="24"/>
                <w:szCs w:val="24"/>
              </w:rPr>
              <w:t>的服务能力将得到大幅的提高，可以</w:t>
            </w:r>
            <w:r w:rsidRPr="00276A80">
              <w:rPr>
                <w:kern w:val="0"/>
                <w:sz w:val="24"/>
                <w:szCs w:val="24"/>
              </w:rPr>
              <w:t>扩大与江淮汽车、</w:t>
            </w:r>
            <w:proofErr w:type="gramStart"/>
            <w:r w:rsidRPr="00276A80">
              <w:rPr>
                <w:kern w:val="0"/>
                <w:sz w:val="24"/>
                <w:szCs w:val="24"/>
              </w:rPr>
              <w:t>一</w:t>
            </w:r>
            <w:proofErr w:type="gramEnd"/>
            <w:r w:rsidRPr="00276A80">
              <w:rPr>
                <w:kern w:val="0"/>
                <w:sz w:val="24"/>
                <w:szCs w:val="24"/>
              </w:rPr>
              <w:t>汽大众以及长安民生等其他客户的合作规模，并能够进一步开发</w:t>
            </w:r>
            <w:r>
              <w:rPr>
                <w:rFonts w:hint="eastAsia"/>
                <w:kern w:val="0"/>
                <w:sz w:val="24"/>
                <w:szCs w:val="24"/>
              </w:rPr>
              <w:t>其他汽车类客户</w:t>
            </w:r>
            <w:r w:rsidRPr="00276A80">
              <w:rPr>
                <w:kern w:val="0"/>
                <w:sz w:val="24"/>
                <w:szCs w:val="24"/>
              </w:rPr>
              <w:t>。</w:t>
            </w:r>
          </w:p>
          <w:p w:rsidR="00041FA9" w:rsidRPr="00943EDB" w:rsidRDefault="00041FA9" w:rsidP="00041FA9">
            <w:pPr>
              <w:pStyle w:val="a6"/>
              <w:widowControl/>
              <w:shd w:val="clear" w:color="auto" w:fill="FFFFFF"/>
              <w:ind w:left="360" w:firstLineChars="0" w:firstLine="0"/>
              <w:jc w:val="left"/>
              <w:rPr>
                <w:rFonts w:asciiTheme="majorEastAsia" w:eastAsiaTheme="majorEastAsia" w:hAnsiTheme="majorEastAsia" w:cs="Arial" w:hint="eastAsia"/>
                <w:b/>
                <w:kern w:val="0"/>
                <w:sz w:val="22"/>
                <w:szCs w:val="21"/>
              </w:rPr>
            </w:pPr>
          </w:p>
          <w:p w:rsidR="009F4FEE" w:rsidRDefault="009F4FEE" w:rsidP="009F4FEE">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9F4FEE">
              <w:rPr>
                <w:rFonts w:asciiTheme="majorEastAsia" w:eastAsiaTheme="majorEastAsia" w:hAnsiTheme="majorEastAsia" w:cs="Arial" w:hint="eastAsia"/>
                <w:b/>
                <w:kern w:val="0"/>
                <w:sz w:val="22"/>
                <w:szCs w:val="21"/>
              </w:rPr>
              <w:t>麻烦具体介绍一下</w:t>
            </w:r>
            <w:r w:rsidR="00943EDB">
              <w:rPr>
                <w:rFonts w:asciiTheme="majorEastAsia" w:eastAsiaTheme="majorEastAsia" w:hAnsiTheme="majorEastAsia" w:cs="Arial" w:hint="eastAsia"/>
                <w:b/>
                <w:kern w:val="0"/>
                <w:sz w:val="22"/>
                <w:szCs w:val="21"/>
              </w:rPr>
              <w:t>公司</w:t>
            </w:r>
            <w:proofErr w:type="gramStart"/>
            <w:r w:rsidRPr="009F4FEE">
              <w:rPr>
                <w:rFonts w:asciiTheme="majorEastAsia" w:eastAsiaTheme="majorEastAsia" w:hAnsiTheme="majorEastAsia" w:cs="Arial" w:hint="eastAsia"/>
                <w:b/>
                <w:kern w:val="0"/>
                <w:sz w:val="22"/>
                <w:szCs w:val="21"/>
              </w:rPr>
              <w:t>与广汽本田</w:t>
            </w:r>
            <w:proofErr w:type="gramEnd"/>
            <w:r w:rsidRPr="009F4FEE">
              <w:rPr>
                <w:rFonts w:asciiTheme="majorEastAsia" w:eastAsiaTheme="majorEastAsia" w:hAnsiTheme="majorEastAsia" w:cs="Arial" w:hint="eastAsia"/>
                <w:b/>
                <w:kern w:val="0"/>
                <w:sz w:val="22"/>
                <w:szCs w:val="21"/>
              </w:rPr>
              <w:t>的合作方式（包括定价方法、收款模式、合同期限等）？</w:t>
            </w:r>
          </w:p>
          <w:p w:rsidR="00943EDB" w:rsidRPr="00456D83" w:rsidRDefault="00041FA9" w:rsidP="00456D83">
            <w:pPr>
              <w:pStyle w:val="a6"/>
              <w:widowControl/>
              <w:shd w:val="clear" w:color="auto" w:fill="FFFFFF"/>
              <w:ind w:left="360" w:firstLineChars="0" w:firstLine="0"/>
              <w:jc w:val="left"/>
              <w:rPr>
                <w:rFonts w:asciiTheme="majorEastAsia" w:eastAsiaTheme="majorEastAsia" w:hAnsiTheme="majorEastAsia" w:cs="Arial"/>
                <w:b/>
                <w:kern w:val="0"/>
                <w:sz w:val="22"/>
                <w:szCs w:val="21"/>
              </w:rPr>
            </w:pPr>
            <w:r>
              <w:rPr>
                <w:rFonts w:asciiTheme="majorEastAsia" w:eastAsiaTheme="majorEastAsia" w:hAnsiTheme="majorEastAsia" w:cs="Arial" w:hint="eastAsia"/>
                <w:b/>
                <w:kern w:val="0"/>
                <w:sz w:val="22"/>
                <w:szCs w:val="21"/>
              </w:rPr>
              <w:t>回复：</w:t>
            </w:r>
            <w:proofErr w:type="gramStart"/>
            <w:r w:rsidR="005F50C2" w:rsidRPr="00DD5332">
              <w:rPr>
                <w:sz w:val="24"/>
              </w:rPr>
              <w:t>广汽本田</w:t>
            </w:r>
            <w:proofErr w:type="gramEnd"/>
            <w:r w:rsidR="005F50C2" w:rsidRPr="00DD5332">
              <w:rPr>
                <w:sz w:val="24"/>
              </w:rPr>
              <w:t>与原尚物流签订合同包括框架协议《取货物流业务委托合同书》和具体线路或业务的《单项合同》，框架协议签订周期为三年，具体线路或业务的单项合同，签订周期为一年。</w:t>
            </w:r>
            <w:r w:rsidR="00456D83">
              <w:rPr>
                <w:rFonts w:hint="eastAsia"/>
                <w:sz w:val="24"/>
              </w:rPr>
              <w:t>公司</w:t>
            </w:r>
            <w:proofErr w:type="gramStart"/>
            <w:r w:rsidR="00456D83">
              <w:rPr>
                <w:sz w:val="24"/>
              </w:rPr>
              <w:t>与广汽本田</w:t>
            </w:r>
            <w:proofErr w:type="gramEnd"/>
            <w:r w:rsidR="00456D83">
              <w:rPr>
                <w:sz w:val="24"/>
              </w:rPr>
              <w:t>的收款模式为</w:t>
            </w:r>
            <w:r w:rsidR="00456D83">
              <w:rPr>
                <w:rFonts w:hint="eastAsia"/>
                <w:sz w:val="24"/>
              </w:rPr>
              <w:t>N+2</w:t>
            </w:r>
            <w:r w:rsidR="00456D83">
              <w:rPr>
                <w:rFonts w:hint="eastAsia"/>
                <w:sz w:val="24"/>
              </w:rPr>
              <w:t>。</w:t>
            </w:r>
            <w:r w:rsidR="005F50C2" w:rsidRPr="00DD5332">
              <w:rPr>
                <w:sz w:val="24"/>
              </w:rPr>
              <w:t>每年，</w:t>
            </w:r>
            <w:proofErr w:type="gramStart"/>
            <w:r w:rsidR="005F50C2" w:rsidRPr="00DD5332">
              <w:rPr>
                <w:sz w:val="24"/>
              </w:rPr>
              <w:t>广汽本田</w:t>
            </w:r>
            <w:proofErr w:type="gramEnd"/>
            <w:r w:rsidR="005F50C2" w:rsidRPr="00DD5332">
              <w:rPr>
                <w:sz w:val="24"/>
              </w:rPr>
              <w:t>对当年所有物流供应商进行考核，并确定次年合作线路。报告期内，</w:t>
            </w:r>
            <w:proofErr w:type="gramStart"/>
            <w:r w:rsidR="005F50C2" w:rsidRPr="00DD5332">
              <w:rPr>
                <w:sz w:val="24"/>
              </w:rPr>
              <w:t>广汽本田</w:t>
            </w:r>
            <w:proofErr w:type="gramEnd"/>
            <w:r w:rsidR="005F50C2" w:rsidRPr="00DD5332">
              <w:rPr>
                <w:sz w:val="24"/>
              </w:rPr>
              <w:t>与原尚物流的合作关系较为稳定，在变更或增加零部件供应商的情况下，也会与公司继续保持紧密合作关系。</w:t>
            </w:r>
          </w:p>
          <w:p w:rsidR="00943EDB" w:rsidRPr="00943EDB" w:rsidRDefault="00943EDB" w:rsidP="00041FA9">
            <w:pPr>
              <w:pStyle w:val="a6"/>
              <w:widowControl/>
              <w:shd w:val="clear" w:color="auto" w:fill="FFFFFF"/>
              <w:ind w:left="360" w:firstLineChars="0" w:firstLine="0"/>
              <w:jc w:val="left"/>
              <w:rPr>
                <w:rFonts w:asciiTheme="majorEastAsia" w:eastAsiaTheme="majorEastAsia" w:hAnsiTheme="majorEastAsia" w:cs="Arial" w:hint="eastAsia"/>
                <w:b/>
                <w:kern w:val="0"/>
                <w:sz w:val="22"/>
                <w:szCs w:val="21"/>
              </w:rPr>
            </w:pPr>
          </w:p>
          <w:p w:rsidR="009F4FEE" w:rsidRDefault="009F4FEE" w:rsidP="009F4FEE">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9F4FEE">
              <w:rPr>
                <w:rFonts w:asciiTheme="majorEastAsia" w:eastAsiaTheme="majorEastAsia" w:hAnsiTheme="majorEastAsia" w:cs="Arial" w:hint="eastAsia"/>
                <w:b/>
                <w:kern w:val="0"/>
                <w:sz w:val="22"/>
                <w:szCs w:val="21"/>
              </w:rPr>
              <w:t>咱们面临的竞争格局如何，例如和竞争对手比，竞争优势如何？</w:t>
            </w:r>
          </w:p>
          <w:p w:rsidR="00456D83" w:rsidRPr="00456D83" w:rsidRDefault="00041FA9" w:rsidP="006D4550">
            <w:pPr>
              <w:pStyle w:val="a6"/>
              <w:widowControl/>
              <w:ind w:left="360" w:firstLineChars="0" w:firstLine="0"/>
              <w:jc w:val="left"/>
              <w:rPr>
                <w:rFonts w:ascii="Times New Roman" w:eastAsia="宋体" w:hAnsi="Times New Roman" w:cs="Times New Roman"/>
                <w:b/>
                <w:sz w:val="24"/>
                <w:szCs w:val="20"/>
              </w:rPr>
            </w:pPr>
            <w:r w:rsidRPr="00456D83">
              <w:rPr>
                <w:rFonts w:ascii="Times New Roman" w:eastAsia="宋体" w:hAnsi="Times New Roman" w:cs="Times New Roman" w:hint="eastAsia"/>
                <w:b/>
                <w:sz w:val="24"/>
                <w:szCs w:val="20"/>
              </w:rPr>
              <w:t>回复：</w:t>
            </w:r>
          </w:p>
          <w:p w:rsidR="00041FA9" w:rsidRPr="006D4550" w:rsidRDefault="00542D40" w:rsidP="006D4550">
            <w:pPr>
              <w:pStyle w:val="a6"/>
              <w:widowControl/>
              <w:ind w:left="360" w:firstLineChars="0" w:firstLine="0"/>
              <w:jc w:val="left"/>
              <w:rPr>
                <w:rFonts w:ascii="Times New Roman" w:eastAsia="宋体" w:hAnsi="Times New Roman" w:cs="Times New Roman" w:hint="eastAsia"/>
                <w:sz w:val="24"/>
                <w:szCs w:val="20"/>
              </w:rPr>
            </w:pPr>
            <w:r w:rsidRPr="00D608AF">
              <w:rPr>
                <w:rFonts w:ascii="Times New Roman" w:eastAsia="宋体" w:hAnsi="Times New Roman" w:cs="Times New Roman" w:hint="eastAsia"/>
                <w:sz w:val="24"/>
                <w:szCs w:val="20"/>
              </w:rPr>
              <w:t>汽车</w:t>
            </w:r>
            <w:r w:rsidRPr="00D608AF">
              <w:rPr>
                <w:rFonts w:ascii="Times New Roman" w:eastAsia="宋体" w:hAnsi="Times New Roman" w:cs="Times New Roman"/>
                <w:sz w:val="24"/>
                <w:szCs w:val="20"/>
              </w:rPr>
              <w:t>零部件物流</w:t>
            </w:r>
            <w:r w:rsidRPr="00D608AF">
              <w:rPr>
                <w:rFonts w:ascii="Times New Roman" w:eastAsia="宋体" w:hAnsi="Times New Roman" w:cs="Times New Roman" w:hint="eastAsia"/>
                <w:sz w:val="24"/>
                <w:szCs w:val="20"/>
              </w:rPr>
              <w:t>行业</w:t>
            </w:r>
            <w:r w:rsidRPr="00D608AF">
              <w:rPr>
                <w:rFonts w:ascii="Times New Roman" w:eastAsia="宋体" w:hAnsi="Times New Roman" w:cs="Times New Roman"/>
                <w:sz w:val="24"/>
                <w:szCs w:val="20"/>
              </w:rPr>
              <w:t>，目前随着国内汽车行业的快速发展，零部件物流的需求大幅增长，同时物流技术不断提升，具备汽车零部件</w:t>
            </w:r>
            <w:r w:rsidRPr="00D608AF">
              <w:rPr>
                <w:rFonts w:ascii="Times New Roman" w:eastAsia="宋体" w:hAnsi="Times New Roman" w:cs="Times New Roman"/>
                <w:sz w:val="24"/>
                <w:szCs w:val="20"/>
              </w:rPr>
              <w:t>JIT</w:t>
            </w:r>
            <w:r w:rsidRPr="00D608AF">
              <w:rPr>
                <w:rFonts w:ascii="Times New Roman" w:eastAsia="宋体" w:hAnsi="Times New Roman" w:cs="Times New Roman"/>
                <w:sz w:val="24"/>
                <w:szCs w:val="20"/>
              </w:rPr>
              <w:t>配送能力的企业越来越多，整车生产企业开始引入外部的物流企业，以提升服务质量，降低物流成本，这也给规模化的第三方物流企业带来了市场机遇。国内专业化的零部件物流企业数量</w:t>
            </w:r>
            <w:r w:rsidRPr="00D608AF">
              <w:rPr>
                <w:rFonts w:ascii="Times New Roman" w:eastAsia="宋体" w:hAnsi="Times New Roman" w:cs="Times New Roman" w:hint="eastAsia"/>
                <w:sz w:val="24"/>
                <w:szCs w:val="20"/>
              </w:rPr>
              <w:t>较</w:t>
            </w:r>
            <w:r w:rsidRPr="00D608AF">
              <w:rPr>
                <w:rFonts w:ascii="Times New Roman" w:eastAsia="宋体" w:hAnsi="Times New Roman" w:cs="Times New Roman"/>
                <w:sz w:val="24"/>
                <w:szCs w:val="20"/>
              </w:rPr>
              <w:t>少，部分以整车物流或非汽车物流为主要业务的传统物流企业已开始进入零部件物流领域，比如长久物流、中远物流以及招商局物流等，但整体的市场份额</w:t>
            </w:r>
            <w:r w:rsidRPr="00D608AF">
              <w:rPr>
                <w:rFonts w:ascii="Times New Roman" w:eastAsia="宋体" w:hAnsi="Times New Roman" w:cs="Times New Roman" w:hint="eastAsia"/>
                <w:sz w:val="24"/>
                <w:szCs w:val="20"/>
              </w:rPr>
              <w:t>较</w:t>
            </w:r>
            <w:r w:rsidRPr="00D608AF">
              <w:rPr>
                <w:rFonts w:ascii="Times New Roman" w:eastAsia="宋体" w:hAnsi="Times New Roman" w:cs="Times New Roman"/>
                <w:sz w:val="24"/>
                <w:szCs w:val="20"/>
              </w:rPr>
              <w:t>小。</w:t>
            </w:r>
            <w:r w:rsidR="009759B0" w:rsidRPr="00D608AF">
              <w:rPr>
                <w:rFonts w:ascii="Times New Roman" w:eastAsia="宋体" w:hAnsi="Times New Roman" w:cs="Times New Roman" w:hint="eastAsia"/>
                <w:sz w:val="24"/>
                <w:szCs w:val="20"/>
              </w:rPr>
              <w:t>相比</w:t>
            </w:r>
            <w:r w:rsidR="009759B0" w:rsidRPr="00D608AF">
              <w:rPr>
                <w:rFonts w:ascii="Times New Roman" w:eastAsia="宋体" w:hAnsi="Times New Roman" w:cs="Times New Roman"/>
                <w:sz w:val="24"/>
                <w:szCs w:val="20"/>
              </w:rPr>
              <w:t>同行，</w:t>
            </w:r>
            <w:r w:rsidR="009759B0" w:rsidRPr="00D608AF">
              <w:rPr>
                <w:rFonts w:ascii="Times New Roman" w:eastAsia="宋体" w:hAnsi="Times New Roman" w:cs="Times New Roman" w:hint="eastAsia"/>
                <w:sz w:val="24"/>
                <w:szCs w:val="20"/>
              </w:rPr>
              <w:t>公司主要</w:t>
            </w:r>
            <w:r w:rsidR="009759B0" w:rsidRPr="00D608AF">
              <w:rPr>
                <w:rFonts w:ascii="Times New Roman" w:eastAsia="宋体" w:hAnsi="Times New Roman" w:cs="Times New Roman"/>
                <w:sz w:val="24"/>
                <w:szCs w:val="20"/>
              </w:rPr>
              <w:t>的竞争</w:t>
            </w:r>
            <w:r w:rsidR="009759B0" w:rsidRPr="00D608AF">
              <w:rPr>
                <w:rFonts w:ascii="Times New Roman" w:eastAsia="宋体" w:hAnsi="Times New Roman" w:cs="Times New Roman" w:hint="eastAsia"/>
                <w:sz w:val="24"/>
                <w:szCs w:val="20"/>
              </w:rPr>
              <w:t>优势</w:t>
            </w:r>
            <w:r w:rsidR="009759B0" w:rsidRPr="00D608AF">
              <w:rPr>
                <w:rFonts w:ascii="Times New Roman" w:eastAsia="宋体" w:hAnsi="Times New Roman" w:cs="Times New Roman"/>
                <w:sz w:val="24"/>
                <w:szCs w:val="20"/>
              </w:rPr>
              <w:t>有</w:t>
            </w:r>
            <w:r w:rsidR="009759B0" w:rsidRPr="00D608AF">
              <w:rPr>
                <w:rFonts w:ascii="Times New Roman" w:eastAsia="宋体" w:hAnsi="Times New Roman" w:cs="Times New Roman"/>
                <w:sz w:val="24"/>
                <w:szCs w:val="20"/>
              </w:rPr>
              <w:t>1</w:t>
            </w:r>
            <w:r w:rsidR="009759B0" w:rsidRPr="00D608AF">
              <w:rPr>
                <w:rFonts w:ascii="Times New Roman" w:eastAsia="宋体" w:hAnsi="Times New Roman" w:cs="Times New Roman" w:hint="eastAsia"/>
                <w:sz w:val="24"/>
                <w:szCs w:val="20"/>
              </w:rPr>
              <w:t>、物流基地优势</w:t>
            </w:r>
            <w:r w:rsidR="009759B0" w:rsidRPr="00D608AF">
              <w:rPr>
                <w:rFonts w:ascii="Times New Roman" w:eastAsia="宋体" w:hAnsi="Times New Roman" w:cs="Times New Roman"/>
                <w:sz w:val="24"/>
                <w:szCs w:val="20"/>
              </w:rPr>
              <w:t>2</w:t>
            </w:r>
            <w:r w:rsidR="009759B0" w:rsidRPr="00D608AF">
              <w:rPr>
                <w:rFonts w:ascii="Times New Roman" w:eastAsia="宋体" w:hAnsi="Times New Roman" w:cs="Times New Roman" w:hint="eastAsia"/>
                <w:sz w:val="24"/>
                <w:szCs w:val="20"/>
              </w:rPr>
              <w:t>、运力优势</w:t>
            </w:r>
            <w:r w:rsidR="009759B0" w:rsidRPr="00D608AF">
              <w:rPr>
                <w:rFonts w:ascii="Times New Roman" w:eastAsia="宋体" w:hAnsi="Times New Roman" w:cs="Times New Roman" w:hint="eastAsia"/>
                <w:sz w:val="24"/>
                <w:szCs w:val="20"/>
              </w:rPr>
              <w:t>3</w:t>
            </w:r>
            <w:r w:rsidR="009759B0" w:rsidRPr="00D608AF">
              <w:rPr>
                <w:rFonts w:ascii="Times New Roman" w:eastAsia="宋体" w:hAnsi="Times New Roman" w:cs="Times New Roman" w:hint="eastAsia"/>
                <w:sz w:val="24"/>
                <w:szCs w:val="20"/>
              </w:rPr>
              <w:t>、价格优势。</w:t>
            </w:r>
          </w:p>
          <w:p w:rsidR="00DA1244" w:rsidRDefault="009F4FEE" w:rsidP="009F4FEE">
            <w:pPr>
              <w:numPr>
                <w:ilvl w:val="0"/>
                <w:numId w:val="5"/>
              </w:numPr>
              <w:tabs>
                <w:tab w:val="left" w:pos="1296"/>
              </w:tabs>
              <w:spacing w:line="360" w:lineRule="auto"/>
              <w:rPr>
                <w:rFonts w:asciiTheme="majorEastAsia" w:eastAsiaTheme="majorEastAsia" w:hAnsiTheme="majorEastAsia" w:cs="Arial"/>
                <w:b/>
                <w:kern w:val="0"/>
                <w:sz w:val="22"/>
                <w:szCs w:val="21"/>
              </w:rPr>
            </w:pPr>
            <w:r w:rsidRPr="009F4FEE">
              <w:rPr>
                <w:rFonts w:asciiTheme="majorEastAsia" w:eastAsiaTheme="majorEastAsia" w:hAnsiTheme="majorEastAsia" w:cs="Arial" w:hint="eastAsia"/>
                <w:b/>
                <w:kern w:val="0"/>
                <w:sz w:val="22"/>
                <w:szCs w:val="21"/>
              </w:rPr>
              <w:t>目前许多汽车厂都在</w:t>
            </w:r>
            <w:r w:rsidR="00542D40">
              <w:rPr>
                <w:rFonts w:asciiTheme="majorEastAsia" w:eastAsiaTheme="majorEastAsia" w:hAnsiTheme="majorEastAsia" w:cs="Arial" w:hint="eastAsia"/>
                <w:b/>
                <w:kern w:val="0"/>
                <w:sz w:val="22"/>
                <w:szCs w:val="21"/>
              </w:rPr>
              <w:t>发展自己的物流公司，这些车厂附属的物流公司，会否威胁到公司以后的</w:t>
            </w:r>
            <w:r w:rsidRPr="009F4FEE">
              <w:rPr>
                <w:rFonts w:asciiTheme="majorEastAsia" w:eastAsiaTheme="majorEastAsia" w:hAnsiTheme="majorEastAsia" w:cs="Arial" w:hint="eastAsia"/>
                <w:b/>
                <w:kern w:val="0"/>
                <w:sz w:val="22"/>
                <w:szCs w:val="21"/>
              </w:rPr>
              <w:t>生存？</w:t>
            </w:r>
          </w:p>
          <w:p w:rsidR="00E06BE0" w:rsidRPr="00E06BE0" w:rsidRDefault="00E06BE0" w:rsidP="00E06BE0">
            <w:pPr>
              <w:tabs>
                <w:tab w:val="left" w:pos="1296"/>
              </w:tabs>
              <w:spacing w:line="360" w:lineRule="auto"/>
              <w:ind w:left="360"/>
              <w:rPr>
                <w:b/>
                <w:kern w:val="0"/>
                <w:sz w:val="24"/>
                <w:szCs w:val="24"/>
              </w:rPr>
            </w:pPr>
            <w:r w:rsidRPr="00E06BE0">
              <w:rPr>
                <w:rFonts w:hint="eastAsia"/>
                <w:b/>
                <w:kern w:val="0"/>
                <w:sz w:val="24"/>
                <w:szCs w:val="24"/>
              </w:rPr>
              <w:t>回复</w:t>
            </w:r>
            <w:r w:rsidRPr="00E06BE0">
              <w:rPr>
                <w:b/>
                <w:kern w:val="0"/>
                <w:sz w:val="24"/>
                <w:szCs w:val="24"/>
              </w:rPr>
              <w:t>：</w:t>
            </w:r>
          </w:p>
          <w:p w:rsidR="00E06BE0" w:rsidRPr="00F13E46" w:rsidRDefault="00E06BE0" w:rsidP="00E06BE0">
            <w:pPr>
              <w:tabs>
                <w:tab w:val="left" w:pos="1296"/>
              </w:tabs>
              <w:spacing w:line="360" w:lineRule="auto"/>
              <w:ind w:left="360"/>
              <w:rPr>
                <w:rFonts w:asciiTheme="majorEastAsia" w:eastAsiaTheme="majorEastAsia" w:hAnsiTheme="majorEastAsia" w:cs="Arial"/>
                <w:b/>
                <w:kern w:val="0"/>
                <w:sz w:val="22"/>
                <w:szCs w:val="21"/>
              </w:rPr>
            </w:pPr>
            <w:r>
              <w:rPr>
                <w:rFonts w:hint="eastAsia"/>
                <w:kern w:val="0"/>
                <w:sz w:val="24"/>
                <w:szCs w:val="24"/>
              </w:rPr>
              <w:t>公司与本田相关客户的合作时间较久，公司已经成为其重要的供应商之一，双方已建立了相互依赖的稳定合作关系。公司在物流网络、服务质量以及成本等方面具备一定优势，保证了公司业务的持续性。</w:t>
            </w:r>
          </w:p>
        </w:tc>
      </w:tr>
      <w:tr w:rsidR="00E0677D" w:rsidTr="00947DE7">
        <w:trPr>
          <w:jc w:val="center"/>
        </w:trPr>
        <w:tc>
          <w:tcPr>
            <w:tcW w:w="1730" w:type="dxa"/>
            <w:shd w:val="clear" w:color="auto" w:fill="auto"/>
            <w:vAlign w:val="center"/>
          </w:tcPr>
          <w:p w:rsidR="00E0677D" w:rsidRDefault="007E334D">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5943" w:type="dxa"/>
            <w:shd w:val="clear" w:color="auto" w:fill="auto"/>
          </w:tcPr>
          <w:p w:rsidR="00E0677D" w:rsidRDefault="007E334D">
            <w:pPr>
              <w:spacing w:line="480" w:lineRule="atLeast"/>
              <w:rPr>
                <w:rFonts w:ascii="宋体" w:hAnsi="宋体"/>
                <w:bCs/>
                <w:iCs/>
                <w:sz w:val="24"/>
                <w:szCs w:val="24"/>
              </w:rPr>
            </w:pPr>
            <w:r>
              <w:rPr>
                <w:rFonts w:ascii="宋体" w:hAnsi="宋体" w:hint="eastAsia"/>
                <w:bCs/>
                <w:iCs/>
                <w:sz w:val="24"/>
                <w:szCs w:val="24"/>
              </w:rPr>
              <w:t>无</w:t>
            </w:r>
          </w:p>
        </w:tc>
      </w:tr>
      <w:tr w:rsidR="00E0677D" w:rsidTr="00947DE7">
        <w:trPr>
          <w:jc w:val="center"/>
        </w:trPr>
        <w:tc>
          <w:tcPr>
            <w:tcW w:w="1730" w:type="dxa"/>
            <w:shd w:val="clear" w:color="auto" w:fill="auto"/>
            <w:vAlign w:val="center"/>
          </w:tcPr>
          <w:p w:rsidR="00E0677D" w:rsidRDefault="007E334D">
            <w:pPr>
              <w:spacing w:line="480" w:lineRule="atLeast"/>
              <w:rPr>
                <w:rFonts w:ascii="宋体" w:hAnsi="宋体"/>
                <w:b/>
                <w:bCs/>
                <w:iCs/>
                <w:sz w:val="24"/>
                <w:szCs w:val="24"/>
              </w:rPr>
            </w:pPr>
            <w:r>
              <w:rPr>
                <w:rFonts w:ascii="宋体" w:hAnsi="宋体" w:hint="eastAsia"/>
                <w:b/>
                <w:bCs/>
                <w:iCs/>
                <w:sz w:val="24"/>
                <w:szCs w:val="24"/>
              </w:rPr>
              <w:t>日期</w:t>
            </w:r>
          </w:p>
        </w:tc>
        <w:tc>
          <w:tcPr>
            <w:tcW w:w="5943" w:type="dxa"/>
            <w:shd w:val="clear" w:color="auto" w:fill="auto"/>
          </w:tcPr>
          <w:p w:rsidR="00E0677D" w:rsidRDefault="00947DE7" w:rsidP="00041FA9">
            <w:pPr>
              <w:spacing w:line="480" w:lineRule="atLeast"/>
              <w:rPr>
                <w:rFonts w:ascii="宋体" w:hAnsi="宋体"/>
                <w:bCs/>
                <w:iCs/>
                <w:sz w:val="24"/>
                <w:szCs w:val="24"/>
              </w:rPr>
            </w:pPr>
            <w:r>
              <w:rPr>
                <w:rFonts w:ascii="宋体" w:hAnsi="宋体" w:hint="eastAsia"/>
                <w:bCs/>
                <w:iCs/>
                <w:sz w:val="24"/>
                <w:szCs w:val="24"/>
              </w:rPr>
              <w:t>2017年1</w:t>
            </w:r>
            <w:r w:rsidR="00041FA9">
              <w:rPr>
                <w:rFonts w:ascii="宋体" w:hAnsi="宋体"/>
                <w:bCs/>
                <w:iCs/>
                <w:sz w:val="24"/>
                <w:szCs w:val="24"/>
              </w:rPr>
              <w:t>2</w:t>
            </w:r>
            <w:r>
              <w:rPr>
                <w:rFonts w:ascii="宋体" w:hAnsi="宋体" w:hint="eastAsia"/>
                <w:bCs/>
                <w:iCs/>
                <w:sz w:val="24"/>
                <w:szCs w:val="24"/>
              </w:rPr>
              <w:t>月</w:t>
            </w:r>
            <w:r w:rsidR="00041FA9">
              <w:rPr>
                <w:rFonts w:ascii="宋体" w:hAnsi="宋体"/>
                <w:bCs/>
                <w:iCs/>
                <w:sz w:val="24"/>
                <w:szCs w:val="24"/>
              </w:rPr>
              <w:t>13</w:t>
            </w:r>
            <w:r>
              <w:rPr>
                <w:rFonts w:ascii="宋体" w:hAnsi="宋体" w:hint="eastAsia"/>
                <w:bCs/>
                <w:iCs/>
                <w:sz w:val="24"/>
                <w:szCs w:val="24"/>
              </w:rPr>
              <w:t>日</w:t>
            </w:r>
          </w:p>
        </w:tc>
      </w:tr>
    </w:tbl>
    <w:p w:rsidR="00E0677D" w:rsidRDefault="00E0677D">
      <w:pPr>
        <w:ind w:firstLineChars="200" w:firstLine="480"/>
        <w:rPr>
          <w:sz w:val="24"/>
          <w:szCs w:val="24"/>
        </w:rPr>
      </w:pPr>
    </w:p>
    <w:p w:rsidR="00E0677D" w:rsidRDefault="00E0677D"/>
    <w:p w:rsidR="00E0677D" w:rsidRDefault="00E0677D"/>
    <w:sectPr w:rsidR="00E0677D" w:rsidSect="00232BC1">
      <w:headerReference w:type="default" r:id="rId8"/>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20" w:rsidRDefault="00721B20">
      <w:r>
        <w:separator/>
      </w:r>
    </w:p>
  </w:endnote>
  <w:endnote w:type="continuationSeparator" w:id="0">
    <w:p w:rsidR="00721B20" w:rsidRDefault="0072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20" w:rsidRDefault="00721B20">
      <w:r>
        <w:separator/>
      </w:r>
    </w:p>
  </w:footnote>
  <w:footnote w:type="continuationSeparator" w:id="0">
    <w:p w:rsidR="00721B20" w:rsidRDefault="0072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7D" w:rsidRDefault="007E334D">
    <w:pPr>
      <w:pStyle w:val="a5"/>
      <w:rPr>
        <w:rFonts w:ascii="宋体" w:hAnsi="宋体"/>
        <w:bCs/>
        <w:iCs/>
        <w:sz w:val="21"/>
        <w:szCs w:val="21"/>
      </w:rPr>
    </w:pPr>
    <w:r>
      <w:rPr>
        <w:rFonts w:ascii="宋体" w:hAnsi="宋体" w:hint="eastAsia"/>
        <w:bCs/>
        <w:iCs/>
        <w:sz w:val="21"/>
        <w:szCs w:val="21"/>
      </w:rPr>
      <w:t>证券代码：</w:t>
    </w:r>
    <w:r w:rsidR="00F737B7">
      <w:rPr>
        <w:rFonts w:ascii="宋体" w:hAnsi="宋体" w:hint="eastAsia"/>
        <w:bCs/>
        <w:iCs/>
        <w:sz w:val="21"/>
        <w:szCs w:val="21"/>
      </w:rPr>
      <w:t>60</w:t>
    </w:r>
    <w:r w:rsidR="00F737B7">
      <w:rPr>
        <w:rFonts w:ascii="宋体" w:hAnsi="宋体"/>
        <w:bCs/>
        <w:iCs/>
        <w:sz w:val="21"/>
        <w:szCs w:val="21"/>
      </w:rPr>
      <w:t>3</w:t>
    </w:r>
    <w:r w:rsidR="00F737B7">
      <w:rPr>
        <w:rFonts w:ascii="宋体" w:hAnsi="宋体" w:hint="eastAsia"/>
        <w:bCs/>
        <w:iCs/>
        <w:sz w:val="21"/>
        <w:szCs w:val="21"/>
      </w:rPr>
      <w:t>813</w:t>
    </w:r>
    <w:r>
      <w:rPr>
        <w:rFonts w:ascii="宋体" w:hAnsi="宋体"/>
        <w:bCs/>
        <w:iCs/>
        <w:sz w:val="21"/>
        <w:szCs w:val="21"/>
      </w:rPr>
      <w:t xml:space="preserve">                           </w:t>
    </w:r>
    <w:r>
      <w:rPr>
        <w:rFonts w:ascii="宋体" w:hAnsi="宋体" w:hint="eastAsia"/>
        <w:bCs/>
        <w:iCs/>
        <w:sz w:val="21"/>
        <w:szCs w:val="21"/>
      </w:rPr>
      <w:t xml:space="preserve">         证券简称：</w:t>
    </w:r>
    <w:r w:rsidR="00F737B7">
      <w:rPr>
        <w:rFonts w:ascii="宋体" w:hAnsi="宋体" w:hint="eastAsia"/>
        <w:bCs/>
        <w:iCs/>
        <w:sz w:val="21"/>
        <w:szCs w:val="21"/>
      </w:rPr>
      <w:t>原尚</w:t>
    </w:r>
    <w:r w:rsidR="00F737B7">
      <w:rPr>
        <w:rFonts w:ascii="宋体" w:hAnsi="宋体"/>
        <w:bCs/>
        <w:iCs/>
        <w:sz w:val="21"/>
        <w:szCs w:val="21"/>
      </w:rPr>
      <w:t>股份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F22D1"/>
    <w:multiLevelType w:val="hybridMultilevel"/>
    <w:tmpl w:val="9B360B1E"/>
    <w:lvl w:ilvl="0" w:tplc="0D5CE2E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C756ED"/>
    <w:multiLevelType w:val="hybridMultilevel"/>
    <w:tmpl w:val="E970FD42"/>
    <w:lvl w:ilvl="0" w:tplc="C2CA7C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CF7E6F"/>
    <w:multiLevelType w:val="hybridMultilevel"/>
    <w:tmpl w:val="71BCD3E8"/>
    <w:lvl w:ilvl="0" w:tplc="52D4E5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64D5B"/>
    <w:multiLevelType w:val="hybridMultilevel"/>
    <w:tmpl w:val="6B1456AA"/>
    <w:lvl w:ilvl="0" w:tplc="78027D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E8431A"/>
    <w:multiLevelType w:val="hybridMultilevel"/>
    <w:tmpl w:val="80ACC2C0"/>
    <w:lvl w:ilvl="0" w:tplc="416A1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8"/>
    <w:rsid w:val="000157FD"/>
    <w:rsid w:val="000245CA"/>
    <w:rsid w:val="00041FA9"/>
    <w:rsid w:val="000754B4"/>
    <w:rsid w:val="00080F2B"/>
    <w:rsid w:val="000A31DA"/>
    <w:rsid w:val="000A7E4A"/>
    <w:rsid w:val="000D00C7"/>
    <w:rsid w:val="000D3A79"/>
    <w:rsid w:val="000F18AF"/>
    <w:rsid w:val="001024E5"/>
    <w:rsid w:val="00106147"/>
    <w:rsid w:val="00130C40"/>
    <w:rsid w:val="0014019B"/>
    <w:rsid w:val="00155B3C"/>
    <w:rsid w:val="00174F18"/>
    <w:rsid w:val="00175757"/>
    <w:rsid w:val="00194834"/>
    <w:rsid w:val="001A467E"/>
    <w:rsid w:val="001D6BFE"/>
    <w:rsid w:val="001F4DDD"/>
    <w:rsid w:val="00214491"/>
    <w:rsid w:val="002312D7"/>
    <w:rsid w:val="00231727"/>
    <w:rsid w:val="00232BC1"/>
    <w:rsid w:val="0025317F"/>
    <w:rsid w:val="00273315"/>
    <w:rsid w:val="002D1265"/>
    <w:rsid w:val="002D200D"/>
    <w:rsid w:val="002D7DA7"/>
    <w:rsid w:val="003063E5"/>
    <w:rsid w:val="0035062B"/>
    <w:rsid w:val="003542D7"/>
    <w:rsid w:val="00371229"/>
    <w:rsid w:val="003720F6"/>
    <w:rsid w:val="00395D4D"/>
    <w:rsid w:val="003F4018"/>
    <w:rsid w:val="00456D83"/>
    <w:rsid w:val="00465489"/>
    <w:rsid w:val="00474FCD"/>
    <w:rsid w:val="0047613C"/>
    <w:rsid w:val="00497936"/>
    <w:rsid w:val="004B6382"/>
    <w:rsid w:val="004E2B0F"/>
    <w:rsid w:val="00532CF0"/>
    <w:rsid w:val="00542D40"/>
    <w:rsid w:val="00550366"/>
    <w:rsid w:val="005821BB"/>
    <w:rsid w:val="005F359B"/>
    <w:rsid w:val="005F50C2"/>
    <w:rsid w:val="00612EFB"/>
    <w:rsid w:val="0061358F"/>
    <w:rsid w:val="00642CF8"/>
    <w:rsid w:val="00684FFB"/>
    <w:rsid w:val="00686ADF"/>
    <w:rsid w:val="006870FD"/>
    <w:rsid w:val="006C2175"/>
    <w:rsid w:val="006D4550"/>
    <w:rsid w:val="006D524A"/>
    <w:rsid w:val="006F5D79"/>
    <w:rsid w:val="0072048B"/>
    <w:rsid w:val="00721B20"/>
    <w:rsid w:val="007C57FF"/>
    <w:rsid w:val="007D371E"/>
    <w:rsid w:val="007E334D"/>
    <w:rsid w:val="007E6C40"/>
    <w:rsid w:val="00817A24"/>
    <w:rsid w:val="00821EFA"/>
    <w:rsid w:val="008403C3"/>
    <w:rsid w:val="00877D67"/>
    <w:rsid w:val="008865DC"/>
    <w:rsid w:val="008A0B53"/>
    <w:rsid w:val="008A7858"/>
    <w:rsid w:val="0090042E"/>
    <w:rsid w:val="00923FA7"/>
    <w:rsid w:val="00943EDB"/>
    <w:rsid w:val="00947DE7"/>
    <w:rsid w:val="009759B0"/>
    <w:rsid w:val="0098031D"/>
    <w:rsid w:val="0099128B"/>
    <w:rsid w:val="009B52CC"/>
    <w:rsid w:val="009F4FEE"/>
    <w:rsid w:val="00A1617C"/>
    <w:rsid w:val="00A51181"/>
    <w:rsid w:val="00A767D4"/>
    <w:rsid w:val="00A8341B"/>
    <w:rsid w:val="00AD039E"/>
    <w:rsid w:val="00AE4E56"/>
    <w:rsid w:val="00B241D3"/>
    <w:rsid w:val="00B504EB"/>
    <w:rsid w:val="00BA1952"/>
    <w:rsid w:val="00BB7FE3"/>
    <w:rsid w:val="00BD096D"/>
    <w:rsid w:val="00C17D24"/>
    <w:rsid w:val="00C56033"/>
    <w:rsid w:val="00C73448"/>
    <w:rsid w:val="00C84344"/>
    <w:rsid w:val="00CB7B99"/>
    <w:rsid w:val="00CC384A"/>
    <w:rsid w:val="00CD74DE"/>
    <w:rsid w:val="00D336F2"/>
    <w:rsid w:val="00D608AF"/>
    <w:rsid w:val="00D70F87"/>
    <w:rsid w:val="00DA1244"/>
    <w:rsid w:val="00DA214C"/>
    <w:rsid w:val="00DC3BE2"/>
    <w:rsid w:val="00DF0471"/>
    <w:rsid w:val="00DF4543"/>
    <w:rsid w:val="00E0677D"/>
    <w:rsid w:val="00E06BE0"/>
    <w:rsid w:val="00E109A7"/>
    <w:rsid w:val="00E40C1C"/>
    <w:rsid w:val="00E44458"/>
    <w:rsid w:val="00E50677"/>
    <w:rsid w:val="00E52047"/>
    <w:rsid w:val="00E763EC"/>
    <w:rsid w:val="00EF2C4F"/>
    <w:rsid w:val="00F13E46"/>
    <w:rsid w:val="00F30B51"/>
    <w:rsid w:val="00F54E81"/>
    <w:rsid w:val="00F737B7"/>
    <w:rsid w:val="00F83012"/>
    <w:rsid w:val="00FC29B2"/>
    <w:rsid w:val="00FC51E6"/>
    <w:rsid w:val="00FD3B33"/>
    <w:rsid w:val="00FD68D8"/>
    <w:rsid w:val="47C003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8C3F1-5B4A-4752-A8BA-3C9A9DD3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hAnsi="Times New Roman"/>
      <w:kern w:val="2"/>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rPr>
      <w:rFonts w:ascii="Times New Roman" w:hAnsi="Times New Roman"/>
      <w:kern w:val="2"/>
      <w:sz w:val="18"/>
      <w:szCs w:val="18"/>
    </w:rPr>
  </w:style>
  <w:style w:type="paragraph" w:styleId="a7">
    <w:name w:val="Normal (Web)"/>
    <w:basedOn w:val="a"/>
    <w:uiPriority w:val="99"/>
    <w:unhideWhenUsed/>
    <w:rsid w:val="00DA1244"/>
    <w:pPr>
      <w:widowControl/>
      <w:spacing w:before="100" w:beforeAutospacing="1" w:after="100" w:afterAutospacing="1"/>
      <w:jc w:val="left"/>
    </w:pPr>
    <w:rPr>
      <w:rFonts w:ascii="宋体" w:hAnsi="宋体" w:cs="宋体"/>
      <w:kern w:val="0"/>
      <w:sz w:val="24"/>
      <w:szCs w:val="24"/>
    </w:rPr>
  </w:style>
  <w:style w:type="character" w:customStyle="1" w:styleId="Char2">
    <w:name w:val="五级目录 Char"/>
    <w:link w:val="a8"/>
    <w:rsid w:val="00F13E46"/>
    <w:rPr>
      <w:rFonts w:ascii="Times New Roman" w:hAnsi="Times New Roman"/>
      <w:sz w:val="24"/>
      <w:szCs w:val="24"/>
    </w:rPr>
  </w:style>
  <w:style w:type="paragraph" w:customStyle="1" w:styleId="a8">
    <w:name w:val="五级目录"/>
    <w:basedOn w:val="a"/>
    <w:link w:val="Char2"/>
    <w:qFormat/>
    <w:rsid w:val="00F13E46"/>
    <w:pPr>
      <w:spacing w:beforeLines="50" w:afterLines="50" w:line="360" w:lineRule="auto"/>
      <w:ind w:firstLineChars="200" w:firstLine="480"/>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CC</cp:lastModifiedBy>
  <cp:revision>18</cp:revision>
  <cp:lastPrinted>2017-11-06T02:12:00Z</cp:lastPrinted>
  <dcterms:created xsi:type="dcterms:W3CDTF">2017-11-03T06:18:00Z</dcterms:created>
  <dcterms:modified xsi:type="dcterms:W3CDTF">2017-12-13T07:30:00Z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