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33" w:rsidRPr="009A6D7E" w:rsidRDefault="00557E33" w:rsidP="00557E33">
      <w:pPr>
        <w:adjustRightInd w:val="0"/>
        <w:snapToGrid w:val="0"/>
        <w:spacing w:line="300" w:lineRule="auto"/>
        <w:ind w:leftChars="-103" w:left="-216"/>
        <w:jc w:val="center"/>
        <w:rPr>
          <w:rFonts w:ascii="宋体" w:hAnsi="宋体"/>
          <w:b/>
          <w:sz w:val="32"/>
          <w:szCs w:val="32"/>
        </w:rPr>
      </w:pPr>
      <w:r w:rsidRPr="009A6D7E">
        <w:rPr>
          <w:rFonts w:ascii="宋体" w:hAnsi="宋体" w:hint="eastAsia"/>
          <w:b/>
          <w:sz w:val="32"/>
          <w:szCs w:val="32"/>
        </w:rPr>
        <w:t>福建天马科技集团股份有限公司</w:t>
      </w:r>
    </w:p>
    <w:p w:rsidR="00557E33" w:rsidRPr="009A6D7E" w:rsidRDefault="00557E33" w:rsidP="00557E33">
      <w:pPr>
        <w:adjustRightInd w:val="0"/>
        <w:snapToGrid w:val="0"/>
        <w:spacing w:line="300" w:lineRule="auto"/>
        <w:ind w:leftChars="-103" w:left="-216"/>
        <w:jc w:val="center"/>
        <w:rPr>
          <w:rFonts w:ascii="宋体" w:cs="宋体"/>
          <w:b/>
          <w:bCs/>
          <w:kern w:val="0"/>
          <w:sz w:val="32"/>
          <w:szCs w:val="32"/>
        </w:rPr>
      </w:pPr>
      <w:r w:rsidRPr="009A6D7E">
        <w:rPr>
          <w:rFonts w:ascii="宋体" w:cs="宋体" w:hint="eastAsia"/>
          <w:b/>
          <w:bCs/>
          <w:kern w:val="0"/>
          <w:sz w:val="32"/>
          <w:szCs w:val="32"/>
        </w:rPr>
        <w:t>接待调研、沟通、采访等活动</w:t>
      </w:r>
      <w:r w:rsidR="000537DE">
        <w:rPr>
          <w:rFonts w:ascii="宋体" w:cs="宋体" w:hint="eastAsia"/>
          <w:b/>
          <w:bCs/>
          <w:kern w:val="0"/>
          <w:sz w:val="32"/>
          <w:szCs w:val="32"/>
        </w:rPr>
        <w:t>记录</w:t>
      </w:r>
      <w:r w:rsidRPr="009A6D7E">
        <w:rPr>
          <w:rFonts w:ascii="宋体" w:cs="宋体" w:hint="eastAsia"/>
          <w:b/>
          <w:bCs/>
          <w:kern w:val="0"/>
          <w:sz w:val="32"/>
          <w:szCs w:val="32"/>
        </w:rPr>
        <w:t>表</w:t>
      </w:r>
    </w:p>
    <w:p w:rsidR="00557E33" w:rsidRPr="00A71E1F" w:rsidRDefault="00557E33" w:rsidP="00557E33">
      <w:pPr>
        <w:adjustRightInd w:val="0"/>
        <w:snapToGrid w:val="0"/>
        <w:spacing w:line="300" w:lineRule="auto"/>
        <w:jc w:val="center"/>
        <w:rPr>
          <w:rFonts w:ascii="宋体" w:hAnsi="宋体" w:cs="宋体"/>
          <w:b/>
          <w:sz w:val="24"/>
        </w:rPr>
      </w:pPr>
    </w:p>
    <w:tbl>
      <w:tblPr>
        <w:tblStyle w:val="a5"/>
        <w:tblW w:w="9360" w:type="dxa"/>
        <w:jc w:val="center"/>
        <w:tblInd w:w="-432" w:type="dxa"/>
        <w:tblLook w:val="01E0"/>
      </w:tblPr>
      <w:tblGrid>
        <w:gridCol w:w="1530"/>
        <w:gridCol w:w="2520"/>
        <w:gridCol w:w="1260"/>
        <w:gridCol w:w="4050"/>
      </w:tblGrid>
      <w:tr w:rsidR="00557E33" w:rsidTr="004F0D58">
        <w:trPr>
          <w:trHeight w:val="589"/>
          <w:jc w:val="center"/>
        </w:trPr>
        <w:tc>
          <w:tcPr>
            <w:tcW w:w="1530" w:type="dxa"/>
            <w:vAlign w:val="center"/>
          </w:tcPr>
          <w:p w:rsidR="00557E33" w:rsidRDefault="00557E33" w:rsidP="004F0D58">
            <w:pPr>
              <w:jc w:val="center"/>
              <w:rPr>
                <w:rFonts w:ascii="宋体" w:hAnsi="宋体"/>
                <w:b/>
                <w:sz w:val="24"/>
              </w:rPr>
            </w:pPr>
            <w:r>
              <w:rPr>
                <w:rFonts w:ascii="宋体" w:hAnsi="宋体" w:hint="eastAsia"/>
                <w:b/>
                <w:sz w:val="24"/>
              </w:rPr>
              <w:t>接待时间</w:t>
            </w:r>
          </w:p>
        </w:tc>
        <w:tc>
          <w:tcPr>
            <w:tcW w:w="2520" w:type="dxa"/>
            <w:vAlign w:val="center"/>
          </w:tcPr>
          <w:p w:rsidR="00557E33" w:rsidRPr="0028477D" w:rsidRDefault="009248E0" w:rsidP="008D1EFF">
            <w:pPr>
              <w:jc w:val="center"/>
              <w:rPr>
                <w:sz w:val="24"/>
              </w:rPr>
            </w:pPr>
            <w:r w:rsidRPr="0028477D">
              <w:rPr>
                <w:sz w:val="24"/>
              </w:rPr>
              <w:t>201</w:t>
            </w:r>
            <w:r w:rsidR="008D1EFF">
              <w:rPr>
                <w:rFonts w:hint="eastAsia"/>
                <w:sz w:val="24"/>
              </w:rPr>
              <w:t>8</w:t>
            </w:r>
            <w:r w:rsidRPr="0028477D">
              <w:rPr>
                <w:rFonts w:hAnsi="宋体"/>
                <w:sz w:val="24"/>
              </w:rPr>
              <w:t>年</w:t>
            </w:r>
            <w:r w:rsidR="00814BF4">
              <w:rPr>
                <w:rFonts w:hint="eastAsia"/>
                <w:sz w:val="24"/>
              </w:rPr>
              <w:t>1</w:t>
            </w:r>
            <w:r w:rsidRPr="0028477D">
              <w:rPr>
                <w:rFonts w:hAnsi="宋体"/>
                <w:sz w:val="24"/>
              </w:rPr>
              <w:t>月</w:t>
            </w:r>
            <w:r w:rsidR="008D1EFF">
              <w:rPr>
                <w:rFonts w:hint="eastAsia"/>
                <w:sz w:val="24"/>
              </w:rPr>
              <w:t>3</w:t>
            </w:r>
            <w:r w:rsidRPr="0028477D">
              <w:rPr>
                <w:rFonts w:hAnsi="宋体"/>
                <w:sz w:val="24"/>
              </w:rPr>
              <w:t>日</w:t>
            </w:r>
            <w:r w:rsidR="00250F7F">
              <w:rPr>
                <w:rFonts w:hAnsi="宋体" w:hint="eastAsia"/>
                <w:sz w:val="24"/>
              </w:rPr>
              <w:t>下</w:t>
            </w:r>
            <w:r w:rsidRPr="0028477D">
              <w:rPr>
                <w:rFonts w:hAnsi="宋体"/>
                <w:sz w:val="24"/>
              </w:rPr>
              <w:t>午</w:t>
            </w:r>
            <w:r w:rsidRPr="0028477D">
              <w:rPr>
                <w:sz w:val="24"/>
              </w:rPr>
              <w:t>1</w:t>
            </w:r>
            <w:r w:rsidR="008D1EFF">
              <w:rPr>
                <w:rFonts w:hint="eastAsia"/>
                <w:sz w:val="24"/>
              </w:rPr>
              <w:t>8</w:t>
            </w:r>
            <w:r w:rsidRPr="0028477D">
              <w:rPr>
                <w:sz w:val="24"/>
              </w:rPr>
              <w:t>:</w:t>
            </w:r>
            <w:r w:rsidR="008D1EFF">
              <w:rPr>
                <w:rFonts w:hint="eastAsia"/>
                <w:sz w:val="24"/>
              </w:rPr>
              <w:t>0</w:t>
            </w:r>
            <w:r w:rsidRPr="0028477D">
              <w:rPr>
                <w:sz w:val="24"/>
              </w:rPr>
              <w:t>0</w:t>
            </w:r>
            <w:r w:rsidRPr="0028477D">
              <w:rPr>
                <w:rFonts w:hAnsi="宋体"/>
                <w:sz w:val="24"/>
              </w:rPr>
              <w:t>至</w:t>
            </w:r>
            <w:r w:rsidRPr="0028477D">
              <w:rPr>
                <w:sz w:val="24"/>
              </w:rPr>
              <w:t>1</w:t>
            </w:r>
            <w:r w:rsidR="008D1EFF">
              <w:rPr>
                <w:rFonts w:hint="eastAsia"/>
                <w:sz w:val="24"/>
              </w:rPr>
              <w:t>9</w:t>
            </w:r>
            <w:r w:rsidRPr="0028477D">
              <w:rPr>
                <w:sz w:val="24"/>
              </w:rPr>
              <w:t>:</w:t>
            </w:r>
            <w:r w:rsidR="008D1EFF">
              <w:rPr>
                <w:rFonts w:hint="eastAsia"/>
                <w:sz w:val="24"/>
              </w:rPr>
              <w:t>3</w:t>
            </w:r>
            <w:r w:rsidRPr="0028477D">
              <w:rPr>
                <w:sz w:val="24"/>
              </w:rPr>
              <w:t>0</w:t>
            </w:r>
          </w:p>
        </w:tc>
        <w:tc>
          <w:tcPr>
            <w:tcW w:w="1260" w:type="dxa"/>
            <w:vAlign w:val="center"/>
          </w:tcPr>
          <w:p w:rsidR="00557E33" w:rsidRPr="0028477D" w:rsidRDefault="00557E33" w:rsidP="004F0D58">
            <w:pPr>
              <w:jc w:val="center"/>
              <w:rPr>
                <w:rFonts w:ascii="宋体" w:hAnsi="宋体"/>
                <w:b/>
                <w:sz w:val="24"/>
              </w:rPr>
            </w:pPr>
            <w:r w:rsidRPr="0028477D">
              <w:rPr>
                <w:rFonts w:ascii="宋体" w:hAnsi="宋体" w:hint="eastAsia"/>
                <w:b/>
                <w:sz w:val="24"/>
              </w:rPr>
              <w:t>接待地点</w:t>
            </w:r>
          </w:p>
        </w:tc>
        <w:tc>
          <w:tcPr>
            <w:tcW w:w="4050" w:type="dxa"/>
            <w:vAlign w:val="center"/>
          </w:tcPr>
          <w:p w:rsidR="00557E33" w:rsidRPr="0028477D" w:rsidRDefault="00484398" w:rsidP="00814BF4">
            <w:pPr>
              <w:jc w:val="center"/>
              <w:rPr>
                <w:rFonts w:ascii="宋体" w:hAnsi="宋体"/>
                <w:sz w:val="24"/>
              </w:rPr>
            </w:pPr>
            <w:r>
              <w:rPr>
                <w:rFonts w:ascii="宋体" w:hAnsi="宋体" w:hint="eastAsia"/>
                <w:sz w:val="24"/>
              </w:rPr>
              <w:t>公司三</w:t>
            </w:r>
            <w:proofErr w:type="gramStart"/>
            <w:r>
              <w:rPr>
                <w:rFonts w:ascii="宋体" w:hAnsi="宋体" w:hint="eastAsia"/>
                <w:sz w:val="24"/>
              </w:rPr>
              <w:t>楼</w:t>
            </w:r>
            <w:r w:rsidR="00814BF4">
              <w:rPr>
                <w:rFonts w:ascii="宋体" w:hAnsi="宋体" w:hint="eastAsia"/>
                <w:sz w:val="24"/>
              </w:rPr>
              <w:t>证券</w:t>
            </w:r>
            <w:proofErr w:type="gramEnd"/>
            <w:r w:rsidR="00814BF4">
              <w:rPr>
                <w:rFonts w:ascii="宋体" w:hAnsi="宋体" w:hint="eastAsia"/>
                <w:sz w:val="24"/>
              </w:rPr>
              <w:t>部</w:t>
            </w:r>
            <w:r>
              <w:rPr>
                <w:rFonts w:ascii="宋体" w:hAnsi="宋体" w:hint="eastAsia"/>
                <w:sz w:val="24"/>
              </w:rPr>
              <w:t xml:space="preserve"> </w:t>
            </w:r>
          </w:p>
        </w:tc>
      </w:tr>
      <w:tr w:rsidR="00557E33" w:rsidTr="004F0D58">
        <w:trPr>
          <w:trHeight w:val="1005"/>
          <w:jc w:val="center"/>
        </w:trPr>
        <w:tc>
          <w:tcPr>
            <w:tcW w:w="1530" w:type="dxa"/>
            <w:vAlign w:val="center"/>
          </w:tcPr>
          <w:p w:rsidR="00557E33" w:rsidRDefault="00557E33" w:rsidP="004F0D58">
            <w:pPr>
              <w:jc w:val="center"/>
              <w:rPr>
                <w:rFonts w:ascii="宋体" w:hAnsi="宋体"/>
                <w:b/>
                <w:sz w:val="24"/>
              </w:rPr>
            </w:pPr>
            <w:r>
              <w:rPr>
                <w:rFonts w:ascii="宋体" w:hAnsi="宋体" w:hint="eastAsia"/>
                <w:b/>
                <w:sz w:val="24"/>
              </w:rPr>
              <w:t>公司接待人</w:t>
            </w:r>
          </w:p>
        </w:tc>
        <w:tc>
          <w:tcPr>
            <w:tcW w:w="7830" w:type="dxa"/>
            <w:gridSpan w:val="3"/>
            <w:vAlign w:val="center"/>
          </w:tcPr>
          <w:p w:rsidR="00557E33" w:rsidRPr="0028477D" w:rsidRDefault="00484398" w:rsidP="008D1EFF">
            <w:pPr>
              <w:jc w:val="left"/>
              <w:rPr>
                <w:rFonts w:ascii="宋体" w:hAnsi="宋体"/>
                <w:sz w:val="24"/>
              </w:rPr>
            </w:pPr>
            <w:r>
              <w:rPr>
                <w:rFonts w:ascii="宋体" w:hAnsi="宋体" w:hint="eastAsia"/>
                <w:sz w:val="24"/>
              </w:rPr>
              <w:t>副总经理、</w:t>
            </w:r>
            <w:r w:rsidR="009248E0" w:rsidRPr="0028477D">
              <w:rPr>
                <w:rFonts w:ascii="宋体" w:hAnsi="宋体" w:hint="eastAsia"/>
                <w:sz w:val="24"/>
              </w:rPr>
              <w:t>董</w:t>
            </w:r>
            <w:r>
              <w:rPr>
                <w:rFonts w:ascii="宋体" w:hAnsi="宋体" w:hint="eastAsia"/>
                <w:sz w:val="24"/>
              </w:rPr>
              <w:t>事会秘书</w:t>
            </w:r>
            <w:r w:rsidR="009248E0" w:rsidRPr="0028477D">
              <w:rPr>
                <w:rFonts w:ascii="宋体" w:hAnsi="宋体" w:hint="eastAsia"/>
                <w:sz w:val="24"/>
              </w:rPr>
              <w:t>陈延嗣</w:t>
            </w:r>
            <w:r>
              <w:rPr>
                <w:rFonts w:ascii="宋体" w:hAnsi="宋体" w:hint="eastAsia"/>
                <w:sz w:val="24"/>
              </w:rPr>
              <w:t>；证券事务代表戴文增</w:t>
            </w:r>
            <w:r w:rsidR="009248E0" w:rsidRPr="0028477D">
              <w:rPr>
                <w:rFonts w:ascii="宋体" w:hAnsi="宋体" w:hint="eastAsia"/>
                <w:sz w:val="24"/>
              </w:rPr>
              <w:t>。</w:t>
            </w:r>
          </w:p>
        </w:tc>
      </w:tr>
      <w:tr w:rsidR="00557E33" w:rsidTr="004F0D58">
        <w:trPr>
          <w:trHeight w:val="1005"/>
          <w:jc w:val="center"/>
        </w:trPr>
        <w:tc>
          <w:tcPr>
            <w:tcW w:w="1530" w:type="dxa"/>
            <w:vAlign w:val="center"/>
          </w:tcPr>
          <w:p w:rsidR="00557E33" w:rsidRDefault="00557E33" w:rsidP="004F0D58">
            <w:pPr>
              <w:jc w:val="center"/>
              <w:rPr>
                <w:rFonts w:ascii="宋体" w:hAnsi="宋体"/>
                <w:b/>
                <w:sz w:val="24"/>
              </w:rPr>
            </w:pPr>
            <w:r>
              <w:rPr>
                <w:rFonts w:ascii="宋体" w:hAnsi="宋体" w:hint="eastAsia"/>
                <w:b/>
                <w:sz w:val="24"/>
              </w:rPr>
              <w:t>接待对象</w:t>
            </w:r>
          </w:p>
        </w:tc>
        <w:tc>
          <w:tcPr>
            <w:tcW w:w="7830" w:type="dxa"/>
            <w:gridSpan w:val="3"/>
            <w:vAlign w:val="center"/>
          </w:tcPr>
          <w:p w:rsidR="00557E33" w:rsidRPr="0028477D" w:rsidRDefault="008D1EFF" w:rsidP="008D1EFF">
            <w:pPr>
              <w:jc w:val="left"/>
              <w:rPr>
                <w:rFonts w:ascii="宋体" w:hAnsi="宋体"/>
                <w:sz w:val="24"/>
              </w:rPr>
            </w:pPr>
            <w:r>
              <w:rPr>
                <w:rFonts w:ascii="宋体" w:hAnsi="宋体" w:hint="eastAsia"/>
                <w:sz w:val="24"/>
              </w:rPr>
              <w:t>国联证券农业与食品分析师王承</w:t>
            </w:r>
            <w:r w:rsidR="007505C1">
              <w:rPr>
                <w:rFonts w:ascii="宋体" w:hAnsi="宋体" w:hint="eastAsia"/>
                <w:sz w:val="24"/>
              </w:rPr>
              <w:t>。</w:t>
            </w:r>
          </w:p>
        </w:tc>
      </w:tr>
      <w:tr w:rsidR="00557E33" w:rsidRPr="00367C18" w:rsidTr="004F0D58">
        <w:trPr>
          <w:trHeight w:val="2810"/>
          <w:jc w:val="center"/>
        </w:trPr>
        <w:tc>
          <w:tcPr>
            <w:tcW w:w="1530" w:type="dxa"/>
            <w:vAlign w:val="center"/>
          </w:tcPr>
          <w:p w:rsidR="00557E33" w:rsidRDefault="00557E33" w:rsidP="004F0D58">
            <w:pPr>
              <w:jc w:val="center"/>
              <w:rPr>
                <w:rFonts w:ascii="宋体" w:hAnsi="宋体"/>
                <w:b/>
                <w:sz w:val="24"/>
              </w:rPr>
            </w:pPr>
            <w:r>
              <w:rPr>
                <w:rFonts w:ascii="宋体" w:hAnsi="宋体" w:hint="eastAsia"/>
                <w:b/>
                <w:sz w:val="24"/>
              </w:rPr>
              <w:t>谈论的主要内容及提供的资料</w:t>
            </w:r>
          </w:p>
        </w:tc>
        <w:tc>
          <w:tcPr>
            <w:tcW w:w="7830" w:type="dxa"/>
            <w:gridSpan w:val="3"/>
            <w:vAlign w:val="center"/>
          </w:tcPr>
          <w:p w:rsidR="00785C86" w:rsidRDefault="00785C86" w:rsidP="00785C86">
            <w:pPr>
              <w:widowControl/>
              <w:ind w:firstLineChars="200" w:firstLine="480"/>
              <w:jc w:val="left"/>
              <w:rPr>
                <w:rFonts w:eastAsiaTheme="minorEastAsia" w:hAnsiTheme="minorEastAsia"/>
                <w:sz w:val="24"/>
              </w:rPr>
            </w:pPr>
            <w:r>
              <w:rPr>
                <w:rFonts w:eastAsiaTheme="minorEastAsia" w:hint="eastAsia"/>
                <w:sz w:val="24"/>
              </w:rPr>
              <w:t>1</w:t>
            </w:r>
            <w:r w:rsidRPr="00F35CCD">
              <w:rPr>
                <w:rFonts w:eastAsiaTheme="minorEastAsia" w:hint="eastAsia"/>
                <w:sz w:val="24"/>
              </w:rPr>
              <w:t>、</w:t>
            </w:r>
            <w:r w:rsidRPr="00C92853">
              <w:rPr>
                <w:rFonts w:eastAsiaTheme="minorEastAsia" w:hAnsiTheme="minorEastAsia"/>
                <w:bCs/>
                <w:sz w:val="24"/>
              </w:rPr>
              <w:t>特种水产饲料行业周期性</w:t>
            </w:r>
            <w:r w:rsidRPr="001F0C60">
              <w:rPr>
                <w:rFonts w:eastAsiaTheme="minorEastAsia" w:hAnsiTheme="minorEastAsia"/>
                <w:bCs/>
                <w:sz w:val="24"/>
              </w:rPr>
              <w:t>问题：</w:t>
            </w:r>
            <w:r w:rsidRPr="00C92853">
              <w:rPr>
                <w:rFonts w:eastAsiaTheme="minorEastAsia" w:hAnsiTheme="minorEastAsia"/>
                <w:sz w:val="24"/>
              </w:rPr>
              <w:t>特种水产饲料行业特性比较明显，有别于其他水产养殖</w:t>
            </w:r>
            <w:r>
              <w:rPr>
                <w:rFonts w:eastAsiaTheme="minorEastAsia" w:hAnsiTheme="minorEastAsia" w:hint="eastAsia"/>
                <w:sz w:val="24"/>
              </w:rPr>
              <w:t>，</w:t>
            </w:r>
            <w:r w:rsidRPr="001F0C60">
              <w:rPr>
                <w:rFonts w:eastAsiaTheme="minorEastAsia" w:hAnsiTheme="minorEastAsia"/>
                <w:sz w:val="24"/>
              </w:rPr>
              <w:t>传统的产销旺季是</w:t>
            </w:r>
            <w:r w:rsidRPr="001F0C60">
              <w:rPr>
                <w:rFonts w:eastAsiaTheme="minorEastAsia"/>
                <w:sz w:val="24"/>
              </w:rPr>
              <w:t>4</w:t>
            </w:r>
            <w:r w:rsidRPr="00C92853">
              <w:rPr>
                <w:rFonts w:eastAsiaTheme="minorEastAsia"/>
                <w:sz w:val="24"/>
              </w:rPr>
              <w:t>-10</w:t>
            </w:r>
            <w:r w:rsidRPr="00C92853">
              <w:rPr>
                <w:rFonts w:eastAsiaTheme="minorEastAsia" w:hAnsiTheme="minorEastAsia"/>
                <w:sz w:val="24"/>
              </w:rPr>
              <w:t>月份</w:t>
            </w:r>
            <w:r>
              <w:rPr>
                <w:rFonts w:eastAsiaTheme="minorEastAsia" w:hAnsiTheme="minorEastAsia" w:hint="eastAsia"/>
                <w:sz w:val="24"/>
              </w:rPr>
              <w:t>；由于公司</w:t>
            </w:r>
            <w:r w:rsidRPr="00FC29BD">
              <w:rPr>
                <w:rFonts w:hint="eastAsia"/>
                <w:sz w:val="24"/>
              </w:rPr>
              <w:t>产品覆盖绝大多数特种水产养殖动物从种苗期至养成期</w:t>
            </w:r>
            <w:proofErr w:type="gramStart"/>
            <w:r w:rsidRPr="00FC29BD">
              <w:rPr>
                <w:rFonts w:hint="eastAsia"/>
                <w:sz w:val="24"/>
              </w:rPr>
              <w:t>养殖全</w:t>
            </w:r>
            <w:proofErr w:type="gramEnd"/>
            <w:r w:rsidRPr="00FC29BD">
              <w:rPr>
                <w:rFonts w:hint="eastAsia"/>
                <w:sz w:val="24"/>
              </w:rPr>
              <w:t>阶段</w:t>
            </w:r>
            <w:r>
              <w:rPr>
                <w:rFonts w:eastAsiaTheme="minorEastAsia" w:hAnsiTheme="minorEastAsia" w:hint="eastAsia"/>
                <w:sz w:val="24"/>
              </w:rPr>
              <w:t>，因此销售整体呈现淡季不淡、旺季很旺的特点</w:t>
            </w:r>
            <w:r w:rsidRPr="00C92853">
              <w:rPr>
                <w:rFonts w:eastAsiaTheme="minorEastAsia" w:hAnsiTheme="minorEastAsia"/>
                <w:sz w:val="24"/>
              </w:rPr>
              <w:t>。</w:t>
            </w:r>
          </w:p>
          <w:p w:rsidR="00557E33" w:rsidRPr="001F0C60" w:rsidRDefault="00785C86" w:rsidP="002E46B1">
            <w:pPr>
              <w:widowControl/>
              <w:ind w:firstLineChars="200" w:firstLine="480"/>
              <w:jc w:val="left"/>
              <w:rPr>
                <w:rFonts w:eastAsiaTheme="minorEastAsia"/>
                <w:sz w:val="24"/>
              </w:rPr>
            </w:pPr>
            <w:r>
              <w:rPr>
                <w:rFonts w:eastAsiaTheme="minorEastAsia" w:hint="eastAsia"/>
                <w:sz w:val="24"/>
              </w:rPr>
              <w:t>2</w:t>
            </w:r>
            <w:r w:rsidR="009248E0" w:rsidRPr="002E46B1">
              <w:rPr>
                <w:rFonts w:eastAsiaTheme="minorEastAsia"/>
                <w:sz w:val="24"/>
              </w:rPr>
              <w:t>、</w:t>
            </w:r>
            <w:r w:rsidR="00AE0DC2">
              <w:rPr>
                <w:rFonts w:eastAsiaTheme="minorEastAsia" w:hint="eastAsia"/>
                <w:sz w:val="24"/>
              </w:rPr>
              <w:t>公司目前主要产品市场情况：公司鳗鱼饲料产品市场销售保持稳健增长，大黄鱼饲料销售</w:t>
            </w:r>
            <w:r>
              <w:rPr>
                <w:rFonts w:eastAsiaTheme="minorEastAsia" w:hint="eastAsia"/>
                <w:sz w:val="24"/>
              </w:rPr>
              <w:t>2017</w:t>
            </w:r>
            <w:r w:rsidR="00AE0DC2">
              <w:rPr>
                <w:rFonts w:eastAsiaTheme="minorEastAsia" w:hint="eastAsia"/>
                <w:sz w:val="24"/>
              </w:rPr>
              <w:t>年有较大幅度增长，同时，公司积极布局高端虾料市场；</w:t>
            </w:r>
            <w:r w:rsidR="00624382">
              <w:rPr>
                <w:rFonts w:eastAsiaTheme="minorEastAsia" w:hint="eastAsia"/>
                <w:sz w:val="24"/>
              </w:rPr>
              <w:t>预计</w:t>
            </w:r>
            <w:r w:rsidR="00AE0DC2">
              <w:rPr>
                <w:rFonts w:eastAsiaTheme="minorEastAsia" w:hint="eastAsia"/>
                <w:sz w:val="24"/>
              </w:rPr>
              <w:t>石斑鱼、鲟鱼、虾等品种饲料</w:t>
            </w:r>
            <w:r w:rsidR="00624382">
              <w:rPr>
                <w:rFonts w:eastAsiaTheme="minorEastAsia" w:hint="eastAsia"/>
                <w:sz w:val="24"/>
              </w:rPr>
              <w:t>销售</w:t>
            </w:r>
            <w:r w:rsidR="00AE0DC2">
              <w:rPr>
                <w:rFonts w:eastAsiaTheme="minorEastAsia" w:hint="eastAsia"/>
                <w:sz w:val="24"/>
              </w:rPr>
              <w:t>会有较</w:t>
            </w:r>
            <w:r w:rsidR="00624382">
              <w:rPr>
                <w:rFonts w:eastAsiaTheme="minorEastAsia" w:hint="eastAsia"/>
                <w:sz w:val="24"/>
              </w:rPr>
              <w:t>大</w:t>
            </w:r>
            <w:r w:rsidR="00AE0DC2">
              <w:rPr>
                <w:rFonts w:eastAsiaTheme="minorEastAsia" w:hint="eastAsia"/>
                <w:sz w:val="24"/>
              </w:rPr>
              <w:t>的增</w:t>
            </w:r>
            <w:r w:rsidR="00624382">
              <w:rPr>
                <w:rFonts w:eastAsiaTheme="minorEastAsia" w:hint="eastAsia"/>
                <w:sz w:val="24"/>
              </w:rPr>
              <w:t>长空间。</w:t>
            </w:r>
          </w:p>
          <w:p w:rsidR="00785C86" w:rsidRDefault="00785C86" w:rsidP="002E46B1">
            <w:pPr>
              <w:widowControl/>
              <w:ind w:firstLineChars="200" w:firstLine="480"/>
              <w:jc w:val="left"/>
              <w:rPr>
                <w:rFonts w:eastAsiaTheme="minorEastAsia"/>
                <w:sz w:val="24"/>
              </w:rPr>
            </w:pPr>
            <w:r>
              <w:rPr>
                <w:rFonts w:eastAsiaTheme="minorEastAsia" w:hint="eastAsia"/>
                <w:sz w:val="24"/>
              </w:rPr>
              <w:t>3</w:t>
            </w:r>
            <w:r>
              <w:rPr>
                <w:rFonts w:eastAsiaTheme="minorEastAsia" w:hint="eastAsia"/>
                <w:sz w:val="24"/>
              </w:rPr>
              <w:t>、区位优势情况：</w:t>
            </w:r>
            <w:r w:rsidRPr="000F2561">
              <w:rPr>
                <w:sz w:val="24"/>
              </w:rPr>
              <w:t>公司</w:t>
            </w:r>
            <w:r w:rsidRPr="000F2561">
              <w:rPr>
                <w:rFonts w:hint="eastAsia"/>
                <w:sz w:val="24"/>
              </w:rPr>
              <w:t>地处</w:t>
            </w:r>
            <w:r w:rsidR="000F2561" w:rsidRPr="000F2561">
              <w:rPr>
                <w:rFonts w:eastAsiaTheme="minorEastAsia" w:hint="eastAsia"/>
                <w:sz w:val="24"/>
              </w:rPr>
              <w:t>养殖大省</w:t>
            </w:r>
            <w:r w:rsidRPr="000F2561">
              <w:rPr>
                <w:sz w:val="24"/>
              </w:rPr>
              <w:t>福建，</w:t>
            </w:r>
            <w:r w:rsidRPr="000F2561">
              <w:rPr>
                <w:sz w:val="24"/>
              </w:rPr>
              <w:t>50%</w:t>
            </w:r>
            <w:r w:rsidRPr="000F2561">
              <w:rPr>
                <w:rFonts w:hint="eastAsia"/>
                <w:sz w:val="24"/>
              </w:rPr>
              <w:t>以上</w:t>
            </w:r>
            <w:r w:rsidRPr="000F2561">
              <w:rPr>
                <w:sz w:val="24"/>
              </w:rPr>
              <w:t>销售业绩来自于福建省，</w:t>
            </w:r>
            <w:r w:rsidRPr="000F2561">
              <w:rPr>
                <w:rFonts w:hint="eastAsia"/>
                <w:sz w:val="24"/>
              </w:rPr>
              <w:t>在省内拥有极高的品牌知名度、市场影响力，</w:t>
            </w:r>
            <w:r w:rsidR="000F2561" w:rsidRPr="000F2561">
              <w:rPr>
                <w:rFonts w:eastAsiaTheme="minorEastAsia" w:hint="eastAsia"/>
                <w:sz w:val="24"/>
              </w:rPr>
              <w:t>区位优势突出，</w:t>
            </w:r>
            <w:r w:rsidR="000F2561">
              <w:rPr>
                <w:rFonts w:eastAsiaTheme="minorEastAsia" w:hint="eastAsia"/>
                <w:sz w:val="24"/>
              </w:rPr>
              <w:t>公司将深耕优势区域，大力拓展全国市场。</w:t>
            </w:r>
          </w:p>
          <w:p w:rsidR="009248E0" w:rsidRDefault="00A15002" w:rsidP="002E46B1">
            <w:pPr>
              <w:widowControl/>
              <w:ind w:firstLineChars="200" w:firstLine="480"/>
              <w:jc w:val="left"/>
              <w:rPr>
                <w:rFonts w:eastAsiaTheme="minorEastAsia"/>
                <w:sz w:val="24"/>
              </w:rPr>
            </w:pPr>
            <w:r>
              <w:rPr>
                <w:rFonts w:eastAsiaTheme="minorEastAsia" w:hint="eastAsia"/>
                <w:sz w:val="24"/>
              </w:rPr>
              <w:t>4</w:t>
            </w:r>
            <w:r w:rsidR="009248E0" w:rsidRPr="002E46B1">
              <w:rPr>
                <w:rFonts w:eastAsiaTheme="minorEastAsia"/>
                <w:sz w:val="24"/>
              </w:rPr>
              <w:t>、</w:t>
            </w:r>
            <w:r w:rsidR="00AE0DC2">
              <w:rPr>
                <w:rFonts w:eastAsiaTheme="minorEastAsia" w:hint="eastAsia"/>
                <w:sz w:val="24"/>
              </w:rPr>
              <w:t>公司近期或未来拓展市场情况</w:t>
            </w:r>
            <w:r w:rsidR="001A6594" w:rsidRPr="002E46B1">
              <w:rPr>
                <w:rFonts w:eastAsiaTheme="minorEastAsia"/>
                <w:sz w:val="24"/>
              </w:rPr>
              <w:t>：</w:t>
            </w:r>
            <w:r w:rsidR="001A6594" w:rsidRPr="002E46B1">
              <w:rPr>
                <w:rFonts w:eastAsiaTheme="minorEastAsia" w:hint="eastAsia"/>
                <w:sz w:val="24"/>
              </w:rPr>
              <w:t>公司</w:t>
            </w:r>
            <w:r w:rsidR="00970029" w:rsidRPr="002E46B1">
              <w:rPr>
                <w:rFonts w:eastAsiaTheme="minorEastAsia"/>
                <w:sz w:val="24"/>
              </w:rPr>
              <w:t>根据发展战略</w:t>
            </w:r>
            <w:r w:rsidR="00970029" w:rsidRPr="002E46B1">
              <w:rPr>
                <w:rFonts w:eastAsiaTheme="minorEastAsia" w:hint="eastAsia"/>
                <w:sz w:val="24"/>
              </w:rPr>
              <w:t>和规划</w:t>
            </w:r>
            <w:r w:rsidR="00970029" w:rsidRPr="002E46B1">
              <w:rPr>
                <w:rFonts w:eastAsiaTheme="minorEastAsia"/>
                <w:sz w:val="24"/>
              </w:rPr>
              <w:t>，积极进行</w:t>
            </w:r>
            <w:r w:rsidR="00D46234">
              <w:rPr>
                <w:rFonts w:eastAsiaTheme="minorEastAsia" w:hint="eastAsia"/>
                <w:sz w:val="24"/>
              </w:rPr>
              <w:t>销售</w:t>
            </w:r>
            <w:r w:rsidR="00970029" w:rsidRPr="002E46B1">
              <w:rPr>
                <w:rFonts w:eastAsiaTheme="minorEastAsia" w:hint="eastAsia"/>
                <w:sz w:val="24"/>
              </w:rPr>
              <w:t>、</w:t>
            </w:r>
            <w:r w:rsidR="00D46234">
              <w:rPr>
                <w:rFonts w:eastAsiaTheme="minorEastAsia" w:hint="eastAsia"/>
                <w:sz w:val="24"/>
              </w:rPr>
              <w:t>技术、服务</w:t>
            </w:r>
            <w:r w:rsidR="00970029" w:rsidRPr="002E46B1">
              <w:rPr>
                <w:rFonts w:eastAsiaTheme="minorEastAsia" w:hint="eastAsia"/>
                <w:sz w:val="24"/>
              </w:rPr>
              <w:t>等</w:t>
            </w:r>
            <w:r w:rsidR="00970029" w:rsidRPr="002E46B1">
              <w:rPr>
                <w:rFonts w:eastAsiaTheme="minorEastAsia"/>
                <w:sz w:val="24"/>
              </w:rPr>
              <w:t>人才</w:t>
            </w:r>
            <w:r w:rsidR="00970029" w:rsidRPr="002E46B1">
              <w:rPr>
                <w:rFonts w:eastAsiaTheme="minorEastAsia" w:hint="eastAsia"/>
                <w:sz w:val="24"/>
              </w:rPr>
              <w:t>队伍</w:t>
            </w:r>
            <w:r w:rsidR="00970029" w:rsidRPr="002E46B1">
              <w:rPr>
                <w:rFonts w:eastAsiaTheme="minorEastAsia"/>
                <w:sz w:val="24"/>
              </w:rPr>
              <w:t>的储备</w:t>
            </w:r>
            <w:r w:rsidR="00D46234">
              <w:rPr>
                <w:rFonts w:eastAsiaTheme="minorEastAsia" w:hint="eastAsia"/>
                <w:sz w:val="24"/>
              </w:rPr>
              <w:t>；加大研发投入，近年来，公司研发费用占营业收入比例都在</w:t>
            </w:r>
            <w:r w:rsidR="00D46234">
              <w:rPr>
                <w:rFonts w:eastAsiaTheme="minorEastAsia" w:hint="eastAsia"/>
                <w:sz w:val="24"/>
              </w:rPr>
              <w:t>3%</w:t>
            </w:r>
            <w:r w:rsidR="00D46234">
              <w:rPr>
                <w:rFonts w:eastAsiaTheme="minorEastAsia" w:hint="eastAsia"/>
                <w:sz w:val="24"/>
              </w:rPr>
              <w:t>以上；</w:t>
            </w:r>
            <w:r w:rsidR="000F7357" w:rsidRPr="002E46B1">
              <w:rPr>
                <w:rFonts w:eastAsiaTheme="minorEastAsia" w:hint="eastAsia"/>
                <w:sz w:val="24"/>
              </w:rPr>
              <w:t>同时</w:t>
            </w:r>
            <w:r w:rsidR="00970029" w:rsidRPr="002E46B1">
              <w:rPr>
                <w:rFonts w:eastAsiaTheme="minorEastAsia" w:hint="eastAsia"/>
                <w:sz w:val="24"/>
              </w:rPr>
              <w:t>细分销售领域，</w:t>
            </w:r>
            <w:r w:rsidR="00624382">
              <w:rPr>
                <w:rFonts w:eastAsiaTheme="minorEastAsia" w:hint="eastAsia"/>
                <w:sz w:val="24"/>
              </w:rPr>
              <w:t>加大营销人员投入力度，</w:t>
            </w:r>
            <w:r w:rsidR="00970029" w:rsidRPr="002E46B1">
              <w:rPr>
                <w:rFonts w:eastAsiaTheme="minorEastAsia" w:hint="eastAsia"/>
                <w:sz w:val="24"/>
              </w:rPr>
              <w:t>重构销售事业部，</w:t>
            </w:r>
            <w:r w:rsidR="00D46234">
              <w:rPr>
                <w:rFonts w:eastAsiaTheme="minorEastAsia" w:hint="eastAsia"/>
                <w:sz w:val="24"/>
              </w:rPr>
              <w:t>强化渠道建设及</w:t>
            </w:r>
            <w:r w:rsidR="000F7357" w:rsidRPr="002E46B1">
              <w:rPr>
                <w:rFonts w:eastAsiaTheme="minorEastAsia" w:hint="eastAsia"/>
                <w:sz w:val="24"/>
              </w:rPr>
              <w:t>对</w:t>
            </w:r>
            <w:r w:rsidR="00970029" w:rsidRPr="002E46B1">
              <w:rPr>
                <w:rFonts w:eastAsiaTheme="minorEastAsia" w:hint="eastAsia"/>
                <w:sz w:val="24"/>
              </w:rPr>
              <w:t>中转站建设</w:t>
            </w:r>
            <w:r w:rsidR="000F7357" w:rsidRPr="002E46B1">
              <w:rPr>
                <w:rFonts w:eastAsiaTheme="minorEastAsia" w:hint="eastAsia"/>
                <w:sz w:val="24"/>
              </w:rPr>
              <w:t>投入</w:t>
            </w:r>
            <w:r w:rsidR="00B42DC9" w:rsidRPr="002E46B1">
              <w:rPr>
                <w:rFonts w:eastAsiaTheme="minorEastAsia"/>
                <w:sz w:val="24"/>
              </w:rPr>
              <w:t>。</w:t>
            </w:r>
          </w:p>
          <w:p w:rsidR="00A15002" w:rsidRDefault="00A15002" w:rsidP="002E46B1">
            <w:pPr>
              <w:widowControl/>
              <w:ind w:firstLineChars="200" w:firstLine="480"/>
              <w:jc w:val="left"/>
              <w:rPr>
                <w:sz w:val="24"/>
              </w:rPr>
            </w:pPr>
            <w:r>
              <w:rPr>
                <w:rFonts w:eastAsiaTheme="minorEastAsia" w:hint="eastAsia"/>
                <w:sz w:val="24"/>
              </w:rPr>
              <w:t>5</w:t>
            </w:r>
            <w:r>
              <w:rPr>
                <w:rFonts w:eastAsiaTheme="minorEastAsia" w:hint="eastAsia"/>
                <w:sz w:val="24"/>
              </w:rPr>
              <w:t>、公司产能情况：</w:t>
            </w:r>
            <w:r w:rsidRPr="009B3D4A">
              <w:rPr>
                <w:rFonts w:hint="eastAsia"/>
                <w:sz w:val="24"/>
              </w:rPr>
              <w:t>公司现有实际产能约</w:t>
            </w:r>
            <w:r w:rsidRPr="009B3D4A">
              <w:rPr>
                <w:rFonts w:hint="eastAsia"/>
                <w:sz w:val="24"/>
              </w:rPr>
              <w:t>14</w:t>
            </w:r>
            <w:r w:rsidRPr="009B3D4A">
              <w:rPr>
                <w:rFonts w:hint="eastAsia"/>
                <w:sz w:val="24"/>
              </w:rPr>
              <w:t>万吨</w:t>
            </w:r>
            <w:r w:rsidRPr="009B3D4A">
              <w:rPr>
                <w:rFonts w:hint="eastAsia"/>
                <w:sz w:val="24"/>
              </w:rPr>
              <w:t>/</w:t>
            </w:r>
            <w:r w:rsidRPr="009B3D4A">
              <w:rPr>
                <w:rFonts w:hint="eastAsia"/>
                <w:sz w:val="24"/>
              </w:rPr>
              <w:t>年，目前产品产销情况良好。</w:t>
            </w:r>
          </w:p>
          <w:p w:rsidR="00A15002" w:rsidRDefault="00A15002" w:rsidP="002E46B1">
            <w:pPr>
              <w:widowControl/>
              <w:ind w:firstLineChars="200" w:firstLine="480"/>
              <w:jc w:val="left"/>
              <w:rPr>
                <w:sz w:val="24"/>
              </w:rPr>
            </w:pPr>
            <w:r>
              <w:rPr>
                <w:rFonts w:hint="eastAsia"/>
                <w:sz w:val="24"/>
              </w:rPr>
              <w:t>6</w:t>
            </w:r>
            <w:r>
              <w:rPr>
                <w:rFonts w:hint="eastAsia"/>
                <w:sz w:val="24"/>
              </w:rPr>
              <w:t>、公司存货情况及鱼粉价格上涨问题：公司的存货主要是鱼粉，目前公司鱼粉储备充足；</w:t>
            </w:r>
            <w:r w:rsidR="000F1565">
              <w:rPr>
                <w:rFonts w:hint="eastAsia"/>
                <w:sz w:val="24"/>
              </w:rPr>
              <w:t>因鱼粉价格的大幅上涨，公司部分相关产品已进行价格调整，</w:t>
            </w:r>
            <w:r w:rsidRPr="00932B8D">
              <w:rPr>
                <w:sz w:val="24"/>
              </w:rPr>
              <w:t>公司</w:t>
            </w:r>
            <w:r>
              <w:rPr>
                <w:rFonts w:hint="eastAsia"/>
                <w:sz w:val="24"/>
              </w:rPr>
              <w:t>将</w:t>
            </w:r>
            <w:r>
              <w:rPr>
                <w:sz w:val="24"/>
              </w:rPr>
              <w:t>充分利用自</w:t>
            </w:r>
            <w:r>
              <w:rPr>
                <w:rFonts w:hint="eastAsia"/>
                <w:sz w:val="24"/>
              </w:rPr>
              <w:t>身</w:t>
            </w:r>
            <w:r w:rsidRPr="00932B8D">
              <w:rPr>
                <w:sz w:val="24"/>
              </w:rPr>
              <w:t>优势</w:t>
            </w:r>
            <w:r w:rsidRPr="00932B8D">
              <w:rPr>
                <w:rFonts w:hint="eastAsia"/>
                <w:sz w:val="24"/>
              </w:rPr>
              <w:t>，</w:t>
            </w:r>
            <w:r w:rsidRPr="00932B8D">
              <w:rPr>
                <w:sz w:val="24"/>
              </w:rPr>
              <w:t>将鱼粉价格上涨转化为公司</w:t>
            </w:r>
            <w:r w:rsidRPr="00932B8D">
              <w:rPr>
                <w:rFonts w:hint="eastAsia"/>
                <w:sz w:val="24"/>
              </w:rPr>
              <w:t>市场</w:t>
            </w:r>
            <w:r w:rsidRPr="00932B8D">
              <w:rPr>
                <w:sz w:val="24"/>
              </w:rPr>
              <w:t>发展的</w:t>
            </w:r>
            <w:r w:rsidRPr="00932B8D">
              <w:rPr>
                <w:rFonts w:hint="eastAsia"/>
                <w:sz w:val="24"/>
              </w:rPr>
              <w:t>机遇</w:t>
            </w:r>
            <w:r>
              <w:rPr>
                <w:rFonts w:hint="eastAsia"/>
                <w:sz w:val="24"/>
              </w:rPr>
              <w:t>，</w:t>
            </w:r>
            <w:r w:rsidRPr="00B030F2">
              <w:rPr>
                <w:sz w:val="24"/>
              </w:rPr>
              <w:t>与广大养殖户共同发展。</w:t>
            </w:r>
          </w:p>
          <w:p w:rsidR="00367C18" w:rsidRPr="00367C18" w:rsidRDefault="00A15002" w:rsidP="00367C18">
            <w:pPr>
              <w:widowControl/>
              <w:ind w:firstLineChars="200" w:firstLine="480"/>
              <w:jc w:val="left"/>
              <w:rPr>
                <w:rFonts w:eastAsiaTheme="minorEastAsia"/>
                <w:sz w:val="24"/>
              </w:rPr>
            </w:pPr>
            <w:r>
              <w:rPr>
                <w:rFonts w:eastAsiaTheme="minorEastAsia" w:hint="eastAsia"/>
                <w:sz w:val="24"/>
              </w:rPr>
              <w:t>7</w:t>
            </w:r>
            <w:r w:rsidR="00367C18">
              <w:rPr>
                <w:rFonts w:eastAsiaTheme="minorEastAsia" w:hint="eastAsia"/>
                <w:sz w:val="24"/>
              </w:rPr>
              <w:t>、</w:t>
            </w:r>
            <w:r w:rsidR="00367C18" w:rsidRPr="00A96AB2">
              <w:rPr>
                <w:rFonts w:eastAsiaTheme="minorEastAsia" w:hint="eastAsia"/>
                <w:sz w:val="24"/>
              </w:rPr>
              <w:t>行业发展空间问题：随着全球的海洋捕捞</w:t>
            </w:r>
            <w:proofErr w:type="gramStart"/>
            <w:r w:rsidR="00367C18" w:rsidRPr="00A96AB2">
              <w:rPr>
                <w:rFonts w:eastAsiaTheme="minorEastAsia" w:hint="eastAsia"/>
                <w:sz w:val="24"/>
              </w:rPr>
              <w:t>量因为</w:t>
            </w:r>
            <w:proofErr w:type="gramEnd"/>
            <w:r w:rsidR="00367C18" w:rsidRPr="00A96AB2">
              <w:rPr>
                <w:rFonts w:eastAsiaTheme="minorEastAsia" w:hint="eastAsia"/>
                <w:sz w:val="24"/>
              </w:rPr>
              <w:t>气候变化等因素影响，导致全球海洋生物捕捞量在下降，人类所需的鱼类蛋白必须要靠养殖来支撑</w:t>
            </w:r>
            <w:r w:rsidR="00367C18">
              <w:rPr>
                <w:rFonts w:eastAsiaTheme="minorEastAsia" w:hint="eastAsia"/>
                <w:sz w:val="24"/>
              </w:rPr>
              <w:t>；叠加消费升级、养殖模式工厂化即养殖模式升级以及特种水产饲料渗透率仍有广阔空间</w:t>
            </w:r>
            <w:r w:rsidR="00367C18" w:rsidRPr="00A96AB2">
              <w:rPr>
                <w:rFonts w:eastAsiaTheme="minorEastAsia" w:hint="eastAsia"/>
                <w:sz w:val="24"/>
              </w:rPr>
              <w:t>，行业未来上升空间有千万吨的级别是必然的。</w:t>
            </w:r>
          </w:p>
        </w:tc>
      </w:tr>
      <w:tr w:rsidR="00557E33" w:rsidTr="004F0D58">
        <w:trPr>
          <w:trHeight w:val="628"/>
          <w:jc w:val="center"/>
        </w:trPr>
        <w:tc>
          <w:tcPr>
            <w:tcW w:w="1530" w:type="dxa"/>
            <w:vAlign w:val="center"/>
          </w:tcPr>
          <w:p w:rsidR="00557E33" w:rsidRDefault="00557E33" w:rsidP="004F0D58">
            <w:pPr>
              <w:jc w:val="center"/>
              <w:rPr>
                <w:rFonts w:ascii="宋体" w:hAnsi="宋体"/>
                <w:b/>
                <w:sz w:val="24"/>
              </w:rPr>
            </w:pPr>
            <w:r>
              <w:rPr>
                <w:rFonts w:ascii="宋体" w:hAnsi="宋体" w:hint="eastAsia"/>
                <w:b/>
                <w:sz w:val="24"/>
              </w:rPr>
              <w:t>备注</w:t>
            </w:r>
          </w:p>
        </w:tc>
        <w:tc>
          <w:tcPr>
            <w:tcW w:w="7830" w:type="dxa"/>
            <w:gridSpan w:val="3"/>
            <w:vAlign w:val="center"/>
          </w:tcPr>
          <w:p w:rsidR="00557E33" w:rsidRDefault="00494E47" w:rsidP="004F0D58">
            <w:pPr>
              <w:jc w:val="center"/>
              <w:rPr>
                <w:rFonts w:ascii="宋体" w:hAnsi="宋体"/>
                <w:b/>
                <w:sz w:val="24"/>
              </w:rPr>
            </w:pPr>
            <w:r>
              <w:rPr>
                <w:rFonts w:ascii="宋体" w:hAnsi="宋体" w:hint="eastAsia"/>
                <w:b/>
                <w:sz w:val="24"/>
              </w:rPr>
              <w:t>未提供书面材料。</w:t>
            </w:r>
          </w:p>
        </w:tc>
      </w:tr>
    </w:tbl>
    <w:p w:rsidR="00557E33" w:rsidRDefault="00557E33" w:rsidP="00557E33"/>
    <w:p w:rsidR="004C26C8" w:rsidRPr="009A1D80" w:rsidRDefault="00122477"/>
    <w:sectPr w:rsidR="004C26C8" w:rsidRPr="009A1D80" w:rsidSect="007764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477" w:rsidRDefault="00122477" w:rsidP="00D3344E">
      <w:r>
        <w:separator/>
      </w:r>
    </w:p>
  </w:endnote>
  <w:endnote w:type="continuationSeparator" w:id="0">
    <w:p w:rsidR="00122477" w:rsidRDefault="00122477" w:rsidP="00D334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477" w:rsidRDefault="00122477" w:rsidP="00D3344E">
      <w:r>
        <w:separator/>
      </w:r>
    </w:p>
  </w:footnote>
  <w:footnote w:type="continuationSeparator" w:id="0">
    <w:p w:rsidR="00122477" w:rsidRDefault="00122477" w:rsidP="00D334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D80"/>
    <w:rsid w:val="00001BFE"/>
    <w:rsid w:val="00006F15"/>
    <w:rsid w:val="00023543"/>
    <w:rsid w:val="00043A22"/>
    <w:rsid w:val="000537DE"/>
    <w:rsid w:val="00075E10"/>
    <w:rsid w:val="000A47F4"/>
    <w:rsid w:val="000B5875"/>
    <w:rsid w:val="000E3660"/>
    <w:rsid w:val="000F1565"/>
    <w:rsid w:val="000F2561"/>
    <w:rsid w:val="000F7357"/>
    <w:rsid w:val="001220E3"/>
    <w:rsid w:val="00122477"/>
    <w:rsid w:val="001A6594"/>
    <w:rsid w:val="001C623D"/>
    <w:rsid w:val="001F0C60"/>
    <w:rsid w:val="0021321C"/>
    <w:rsid w:val="00250F7F"/>
    <w:rsid w:val="0028477D"/>
    <w:rsid w:val="00291BBC"/>
    <w:rsid w:val="0029687E"/>
    <w:rsid w:val="002A3AE3"/>
    <w:rsid w:val="002D1BBF"/>
    <w:rsid w:val="002D4139"/>
    <w:rsid w:val="002E46B1"/>
    <w:rsid w:val="0031477E"/>
    <w:rsid w:val="003170C9"/>
    <w:rsid w:val="003211DF"/>
    <w:rsid w:val="00335805"/>
    <w:rsid w:val="00341FCB"/>
    <w:rsid w:val="00361935"/>
    <w:rsid w:val="00367C18"/>
    <w:rsid w:val="00385D28"/>
    <w:rsid w:val="00395044"/>
    <w:rsid w:val="003B1E2E"/>
    <w:rsid w:val="003D63E7"/>
    <w:rsid w:val="003E08AB"/>
    <w:rsid w:val="004153C0"/>
    <w:rsid w:val="00462957"/>
    <w:rsid w:val="00481082"/>
    <w:rsid w:val="00484398"/>
    <w:rsid w:val="00490D67"/>
    <w:rsid w:val="00494E47"/>
    <w:rsid w:val="004C600E"/>
    <w:rsid w:val="004E1221"/>
    <w:rsid w:val="004F3497"/>
    <w:rsid w:val="005053D4"/>
    <w:rsid w:val="00512359"/>
    <w:rsid w:val="00557E33"/>
    <w:rsid w:val="005A0DA3"/>
    <w:rsid w:val="005D1824"/>
    <w:rsid w:val="005D7182"/>
    <w:rsid w:val="005E7B40"/>
    <w:rsid w:val="005E7FBF"/>
    <w:rsid w:val="006212AB"/>
    <w:rsid w:val="00624382"/>
    <w:rsid w:val="006C1A93"/>
    <w:rsid w:val="006F107B"/>
    <w:rsid w:val="00721AEA"/>
    <w:rsid w:val="007378C8"/>
    <w:rsid w:val="007505C1"/>
    <w:rsid w:val="007616AE"/>
    <w:rsid w:val="007764EA"/>
    <w:rsid w:val="00785C86"/>
    <w:rsid w:val="00794EA9"/>
    <w:rsid w:val="007A11DC"/>
    <w:rsid w:val="007A5C0D"/>
    <w:rsid w:val="007C32E4"/>
    <w:rsid w:val="00801108"/>
    <w:rsid w:val="00814BF4"/>
    <w:rsid w:val="0083319C"/>
    <w:rsid w:val="00845406"/>
    <w:rsid w:val="00850B28"/>
    <w:rsid w:val="00852A11"/>
    <w:rsid w:val="00867CB2"/>
    <w:rsid w:val="00886DBD"/>
    <w:rsid w:val="008A587A"/>
    <w:rsid w:val="008B31EE"/>
    <w:rsid w:val="008D1EFF"/>
    <w:rsid w:val="008F049B"/>
    <w:rsid w:val="008F1AE8"/>
    <w:rsid w:val="00906C77"/>
    <w:rsid w:val="00912582"/>
    <w:rsid w:val="00923DB2"/>
    <w:rsid w:val="009248E0"/>
    <w:rsid w:val="009271BD"/>
    <w:rsid w:val="00957E76"/>
    <w:rsid w:val="00970029"/>
    <w:rsid w:val="009A1D80"/>
    <w:rsid w:val="009A6D7E"/>
    <w:rsid w:val="009F3BF2"/>
    <w:rsid w:val="00A07BAF"/>
    <w:rsid w:val="00A15002"/>
    <w:rsid w:val="00A932BD"/>
    <w:rsid w:val="00AA6B9F"/>
    <w:rsid w:val="00AD2DE2"/>
    <w:rsid w:val="00AD4C7B"/>
    <w:rsid w:val="00AE0DC2"/>
    <w:rsid w:val="00AE27EA"/>
    <w:rsid w:val="00AF047A"/>
    <w:rsid w:val="00B05FB8"/>
    <w:rsid w:val="00B36BD9"/>
    <w:rsid w:val="00B42DC9"/>
    <w:rsid w:val="00B6581E"/>
    <w:rsid w:val="00B70C24"/>
    <w:rsid w:val="00C075F1"/>
    <w:rsid w:val="00C53731"/>
    <w:rsid w:val="00C71683"/>
    <w:rsid w:val="00C913D7"/>
    <w:rsid w:val="00C96D75"/>
    <w:rsid w:val="00CA2119"/>
    <w:rsid w:val="00D0668A"/>
    <w:rsid w:val="00D3344E"/>
    <w:rsid w:val="00D46234"/>
    <w:rsid w:val="00D523D6"/>
    <w:rsid w:val="00D65F40"/>
    <w:rsid w:val="00D96EA3"/>
    <w:rsid w:val="00DB0E32"/>
    <w:rsid w:val="00DE6032"/>
    <w:rsid w:val="00E2557E"/>
    <w:rsid w:val="00E416A3"/>
    <w:rsid w:val="00E55AA2"/>
    <w:rsid w:val="00E8081E"/>
    <w:rsid w:val="00E83F3A"/>
    <w:rsid w:val="00EA349F"/>
    <w:rsid w:val="00EE4C40"/>
    <w:rsid w:val="00F35CCD"/>
    <w:rsid w:val="00F56AEC"/>
    <w:rsid w:val="00FF26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8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w:basedOn w:val="a"/>
    <w:rsid w:val="009A1D80"/>
  </w:style>
  <w:style w:type="paragraph" w:styleId="a3">
    <w:name w:val="header"/>
    <w:basedOn w:val="a"/>
    <w:link w:val="Char"/>
    <w:uiPriority w:val="99"/>
    <w:semiHidden/>
    <w:unhideWhenUsed/>
    <w:rsid w:val="00D334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344E"/>
    <w:rPr>
      <w:rFonts w:ascii="Times New Roman" w:eastAsia="宋体" w:hAnsi="Times New Roman" w:cs="Times New Roman"/>
      <w:sz w:val="18"/>
      <w:szCs w:val="18"/>
    </w:rPr>
  </w:style>
  <w:style w:type="paragraph" w:styleId="a4">
    <w:name w:val="footer"/>
    <w:basedOn w:val="a"/>
    <w:link w:val="Char0"/>
    <w:uiPriority w:val="99"/>
    <w:semiHidden/>
    <w:unhideWhenUsed/>
    <w:rsid w:val="00D334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344E"/>
    <w:rPr>
      <w:rFonts w:ascii="Times New Roman" w:eastAsia="宋体" w:hAnsi="Times New Roman" w:cs="Times New Roman"/>
      <w:sz w:val="18"/>
      <w:szCs w:val="18"/>
    </w:rPr>
  </w:style>
  <w:style w:type="table" w:styleId="a5">
    <w:name w:val="Table Grid"/>
    <w:basedOn w:val="a1"/>
    <w:rsid w:val="00557E3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248E0"/>
    <w:pPr>
      <w:ind w:firstLineChars="200" w:firstLine="420"/>
    </w:pPr>
  </w:style>
</w:styles>
</file>

<file path=word/webSettings.xml><?xml version="1.0" encoding="utf-8"?>
<w:webSettings xmlns:r="http://schemas.openxmlformats.org/officeDocument/2006/relationships" xmlns:w="http://schemas.openxmlformats.org/wordprocessingml/2006/main">
  <w:divs>
    <w:div w:id="10107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6</cp:revision>
  <dcterms:created xsi:type="dcterms:W3CDTF">2018-01-04T00:35:00Z</dcterms:created>
  <dcterms:modified xsi:type="dcterms:W3CDTF">2018-01-04T01:17:00Z</dcterms:modified>
</cp:coreProperties>
</file>