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8" w:rsidRPr="008274E0" w:rsidRDefault="00056178" w:rsidP="00DF633A">
      <w:pPr>
        <w:jc w:val="center"/>
        <w:rPr>
          <w:rStyle w:val="apple-style-span"/>
          <w:rFonts w:ascii="Times New Roman" w:hAnsi="Times New Roman"/>
          <w:b/>
          <w:sz w:val="36"/>
          <w:szCs w:val="36"/>
        </w:rPr>
      </w:pPr>
      <w:r w:rsidRPr="008274E0">
        <w:rPr>
          <w:rStyle w:val="apple-style-span"/>
          <w:rFonts w:ascii="Times New Roman" w:hAnsi="Simsun"/>
          <w:b/>
          <w:sz w:val="36"/>
          <w:szCs w:val="36"/>
        </w:rPr>
        <w:t>南京康尼机电股份有限公司</w:t>
      </w:r>
      <w:r w:rsidRPr="008274E0">
        <w:rPr>
          <w:rFonts w:ascii="Times New Roman" w:hAnsi="Times New Roman"/>
          <w:b/>
          <w:sz w:val="36"/>
          <w:szCs w:val="36"/>
        </w:rPr>
        <w:br/>
      </w:r>
      <w:r w:rsidRPr="008274E0">
        <w:rPr>
          <w:rStyle w:val="apple-style-span"/>
          <w:rFonts w:ascii="Times New Roman" w:hAnsi="Simsun"/>
          <w:b/>
          <w:sz w:val="36"/>
          <w:szCs w:val="36"/>
        </w:rPr>
        <w:t>投资者关系活动记录表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color w:val="333333"/>
                <w:szCs w:val="21"/>
              </w:rPr>
              <w:br/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7740" w:type="dxa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√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特定对象调研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分析师会议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媒体采访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业绩说明会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新闻发布会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        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路演活动</w:t>
            </w:r>
          </w:p>
          <w:p w:rsidR="00056178" w:rsidRPr="00606AF1" w:rsidRDefault="00864563" w:rsidP="004E26E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="00056178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现场参观</w:t>
            </w:r>
            <w:r w:rsidR="00056178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ab/>
            </w:r>
          </w:p>
          <w:p w:rsidR="00056178" w:rsidRPr="00606AF1" w:rsidRDefault="00056178" w:rsidP="004E26E0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□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其他</w:t>
            </w:r>
            <w:r w:rsidR="002D190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：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投资者接待日活动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8274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参与单位名称及人员姓名</w:t>
            </w:r>
            <w:r w:rsidR="00A90F34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br/>
            </w:r>
          </w:p>
        </w:tc>
        <w:tc>
          <w:tcPr>
            <w:tcW w:w="7740" w:type="dxa"/>
          </w:tcPr>
          <w:p w:rsidR="008A4B1C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瑞银证券：郑欣、朱渊、王斐丽、谭雅文</w:t>
            </w:r>
          </w:p>
          <w:p w:rsidR="009C00D1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UBS O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'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Connor Limited  Daniel Johansson</w:t>
            </w:r>
          </w:p>
          <w:p w:rsidR="009C00D1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Schroders</w:t>
            </w:r>
            <w:proofErr w:type="spell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丘爱敏</w:t>
            </w:r>
            <w:proofErr w:type="gramEnd"/>
          </w:p>
          <w:p w:rsidR="009C00D1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大和住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银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胡雯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矜</w:t>
            </w:r>
            <w:proofErr w:type="gramEnd"/>
          </w:p>
          <w:p w:rsidR="009C00D1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British Airways Pension Investment Management Limited  Peter Ritchie</w:t>
            </w:r>
          </w:p>
          <w:p w:rsidR="009C00D1" w:rsidRDefault="009C00D1" w:rsidP="008274E0">
            <w:pPr>
              <w:spacing w:line="480" w:lineRule="atLeast"/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三井住友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久保智彦</w:t>
            </w:r>
          </w:p>
          <w:p w:rsidR="009C00D1" w:rsidRPr="009C00D1" w:rsidRDefault="009C00D1" w:rsidP="008274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大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华资产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管理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Tanakorn</w:t>
            </w:r>
            <w:proofErr w:type="spellEnd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Dhamalongkrot</w:t>
            </w:r>
            <w:proofErr w:type="spellEnd"/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40" w:type="dxa"/>
          </w:tcPr>
          <w:p w:rsidR="00056178" w:rsidRPr="00606AF1" w:rsidRDefault="00056178" w:rsidP="00744B97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年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月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</w:t>
            </w:r>
            <w:r w:rsidR="00791040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1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6</w:t>
            </w: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:00</w:t>
            </w:r>
            <w:r w:rsidR="00B65593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—</w:t>
            </w:r>
            <w:r w:rsidR="00791040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17:0</w:t>
            </w:r>
            <w:r w:rsidR="00B65593"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0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40" w:type="dxa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公司</w:t>
            </w:r>
            <w:r w:rsidR="00744B97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二楼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40" w:type="dxa"/>
          </w:tcPr>
          <w:p w:rsidR="00056178" w:rsidRPr="00606AF1" w:rsidRDefault="00606AF1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公司</w:t>
            </w:r>
            <w:r w:rsidR="00056178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董事会秘书：</w:t>
            </w:r>
            <w:smartTag w:uri="Tencent" w:element="RTX">
              <w:r w:rsidR="00056178" w:rsidRPr="00606AF1">
                <w:rPr>
                  <w:rFonts w:ascii="Times New Roman" w:hAnsi="宋体"/>
                  <w:bCs/>
                  <w:iCs/>
                  <w:color w:val="000000"/>
                  <w:sz w:val="24"/>
                </w:rPr>
                <w:t>徐庆</w:t>
              </w:r>
            </w:smartTag>
          </w:p>
          <w:p w:rsidR="00D0104A" w:rsidRPr="00606AF1" w:rsidRDefault="00606AF1" w:rsidP="00606A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公司</w:t>
            </w:r>
            <w:r w:rsidR="00D0104A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证券事务</w:t>
            </w:r>
            <w:r w:rsidR="00744B97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代表</w:t>
            </w:r>
            <w:r w:rsidR="00D0104A"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：刘健</w:t>
            </w:r>
          </w:p>
        </w:tc>
      </w:tr>
      <w:tr w:rsidR="00056178" w:rsidRPr="00606AF1" w:rsidTr="004E26E0">
        <w:tc>
          <w:tcPr>
            <w:tcW w:w="3060" w:type="dxa"/>
            <w:vAlign w:val="center"/>
          </w:tcPr>
          <w:p w:rsidR="00056178" w:rsidRPr="00606AF1" w:rsidRDefault="00056178" w:rsidP="002D1901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7740" w:type="dxa"/>
          </w:tcPr>
          <w:p w:rsidR="0066087F" w:rsidRDefault="00056178" w:rsidP="0066087F">
            <w:pPr>
              <w:spacing w:line="480" w:lineRule="atLeast"/>
              <w:rPr>
                <w:rFonts w:ascii="Times New Roman" w:hAnsi="Times New Roman" w:hint="eastAsia"/>
                <w:bCs/>
                <w:iCs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 </w:t>
            </w:r>
            <w:r w:rsidR="00744B9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本次调研会上，公司董事会秘书首先给各位投资者介绍了</w:t>
            </w:r>
            <w:r w:rsidR="00B67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公司发展历程</w:t>
            </w:r>
            <w:r w:rsidR="003921B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：</w:t>
            </w:r>
            <w:r w:rsidR="00B67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公司成立于</w:t>
            </w:r>
            <w:r w:rsidR="00B67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2000</w:t>
            </w:r>
            <w:r w:rsidR="00B67A2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年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，成立初期主要从事轨道交通连接器业务；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2005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年开始进入轨道交通</w:t>
            </w:r>
            <w:proofErr w:type="gramStart"/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门系统</w:t>
            </w:r>
            <w:proofErr w:type="gramEnd"/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行业，自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2007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年至今，公司</w:t>
            </w:r>
            <w:proofErr w:type="gramStart"/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城轨门系统</w:t>
            </w:r>
            <w:proofErr w:type="gramEnd"/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市场占有率持续维持在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50%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以上。经过多年发展，公司于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2014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年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="0066087F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日在上海证券交易所正式挂牌上市，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上市之后，</w:t>
            </w:r>
            <w:r w:rsidR="00216106" w:rsidRPr="008274E0">
              <w:rPr>
                <w:rFonts w:ascii="Times New Roman" w:hAnsi="Times New Roman" w:hint="eastAsia"/>
                <w:bCs/>
                <w:iCs/>
                <w:sz w:val="24"/>
              </w:rPr>
              <w:t>公司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坚持</w:t>
            </w:r>
            <w:r w:rsidR="0033251D" w:rsidRPr="008274E0">
              <w:rPr>
                <w:rFonts w:ascii="Times New Roman" w:hAnsi="Times New Roman" w:hint="eastAsia"/>
                <w:bCs/>
                <w:iCs/>
                <w:sz w:val="24"/>
              </w:rPr>
              <w:t>做强主业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的同时</w:t>
            </w:r>
            <w:r w:rsidR="00216106" w:rsidRPr="008274E0"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专注于机电技术的研发和应用，于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2015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年成立了南京康尼新能源汽车零部件有限公司，进入新能源汽车行业；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年通过资本运作，成功收购广东龙昕科技有限公司，打造了“轨道交通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+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消费电子”双主业，形成了“投资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+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消费”双驱动的格局，提高了公司抵御宏观经济波动及持续增长的能力。</w:t>
            </w:r>
          </w:p>
          <w:p w:rsidR="0066087F" w:rsidRDefault="0066087F" w:rsidP="0066087F">
            <w:pPr>
              <w:spacing w:line="480" w:lineRule="atLeast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lastRenderedPageBreak/>
              <w:t xml:space="preserve">   </w:t>
            </w:r>
            <w:r w:rsidRPr="003458AF">
              <w:rPr>
                <w:rFonts w:ascii="Times New Roman" w:hAnsi="宋体"/>
                <w:bCs/>
                <w:iCs/>
                <w:color w:val="000000"/>
                <w:sz w:val="24"/>
              </w:rPr>
              <w:t>然后各位投资者就关心的问题咨询了公司相关领导，主要内容如下：</w:t>
            </w:r>
          </w:p>
          <w:p w:rsidR="0066087F" w:rsidRDefault="0066087F" w:rsidP="00CB74BA">
            <w:pPr>
              <w:spacing w:line="480" w:lineRule="atLeast"/>
              <w:ind w:firstLineChars="150" w:firstLine="360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、公司轨道交通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及新能源汽车零部件产品的主要竞争对手有哪些？</w:t>
            </w:r>
          </w:p>
          <w:p w:rsidR="0066087F" w:rsidRDefault="0066087F" w:rsidP="00CB74BA">
            <w:pPr>
              <w:spacing w:line="480" w:lineRule="atLeast"/>
              <w:ind w:firstLineChars="150" w:firstLine="360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目前，轨道交通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的主要有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5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家生产厂家，公司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城轨门系统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市场的占有率超过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50%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、动车组外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市场占有率超过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35%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年，公司外门产品在首批复兴号动车组占比高达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80%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；另外，新能源汽车零部件产品（充电线束、高压配电装置等）主要有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4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家生产厂家，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2016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年，公司新能源汽车零部件产品的市场占有率在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左右。</w:t>
            </w:r>
          </w:p>
          <w:p w:rsidR="0066087F" w:rsidRDefault="0066087F" w:rsidP="00CB74BA">
            <w:pPr>
              <w:spacing w:line="480" w:lineRule="atLeast"/>
              <w:ind w:firstLineChars="150" w:firstLine="360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2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、公司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产品是否有降价的压力？</w:t>
            </w:r>
            <w:r w:rsidR="008C7BD3">
              <w:rPr>
                <w:rFonts w:ascii="Times New Roman" w:hAnsi="Times New Roman" w:hint="eastAsia"/>
                <w:bCs/>
                <w:iCs/>
                <w:sz w:val="24"/>
              </w:rPr>
              <w:t>相关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新产品的研发、市场拓展如何？</w:t>
            </w:r>
          </w:p>
          <w:p w:rsidR="0066087F" w:rsidRDefault="008C7BD3" w:rsidP="00CB74BA">
            <w:pPr>
              <w:spacing w:line="480" w:lineRule="atLeast"/>
              <w:ind w:firstLineChars="150" w:firstLine="360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十年来，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公司</w:t>
            </w:r>
            <w:proofErr w:type="gramStart"/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轨交门系统</w:t>
            </w:r>
            <w:proofErr w:type="gramEnd"/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产品价格大约下降了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20%-25%</w:t>
            </w:r>
            <w:r w:rsidR="0066087F"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但公司通过智能化改造等方式降本增效，毛利率一直维持在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40%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左右的水平。</w:t>
            </w:r>
          </w:p>
          <w:p w:rsidR="008C7BD3" w:rsidRDefault="008C7BD3" w:rsidP="008C7BD3">
            <w:pPr>
              <w:spacing w:line="480" w:lineRule="atLeast"/>
              <w:ind w:firstLineChars="150" w:firstLine="360"/>
              <w:rPr>
                <w:rFonts w:ascii="Times New Roman" w:hAnsi="Times New Roman" w:hint="eastAsia"/>
                <w:bCs/>
                <w:iCs/>
                <w:sz w:val="24"/>
              </w:rPr>
            </w:pPr>
            <w:r w:rsidRPr="008C7BD3">
              <w:rPr>
                <w:rFonts w:ascii="Times New Roman" w:hAnsi="Times New Roman"/>
                <w:bCs/>
                <w:iCs/>
                <w:sz w:val="24"/>
              </w:rPr>
              <w:t>2016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年，公司自主研制了新能源公交车</w:t>
            </w:r>
            <w:proofErr w:type="gramStart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电动塞</w:t>
            </w:r>
            <w:proofErr w:type="gramEnd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拉门，首批</w:t>
            </w:r>
            <w:r w:rsidRPr="008C7BD3">
              <w:rPr>
                <w:rFonts w:ascii="Times New Roman" w:hAnsi="Times New Roman"/>
                <w:bCs/>
                <w:iCs/>
                <w:sz w:val="24"/>
              </w:rPr>
              <w:t>75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套</w:t>
            </w:r>
            <w:proofErr w:type="gramStart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门系统</w:t>
            </w:r>
            <w:proofErr w:type="gramEnd"/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订单实现交付；</w:t>
            </w:r>
            <w:r w:rsidRPr="008C7BD3">
              <w:rPr>
                <w:rFonts w:ascii="Times New Roman" w:hAnsi="Times New Roman"/>
                <w:bCs/>
                <w:iCs/>
                <w:sz w:val="24"/>
              </w:rPr>
              <w:t>2017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年，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交付超过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1500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套，截至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2017</w:t>
            </w:r>
            <w:r w:rsidR="001535DA">
              <w:rPr>
                <w:rFonts w:ascii="Times New Roman" w:hAnsi="Times New Roman" w:hint="eastAsia"/>
                <w:bCs/>
                <w:iCs/>
                <w:sz w:val="24"/>
              </w:rPr>
              <w:t>年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底在手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订单</w:t>
            </w:r>
            <w:r w:rsidR="00BC7860">
              <w:rPr>
                <w:rFonts w:ascii="Times New Roman" w:hAnsi="Times New Roman" w:hint="eastAsia"/>
                <w:bCs/>
                <w:iCs/>
                <w:sz w:val="24"/>
              </w:rPr>
              <w:t>近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2000</w:t>
            </w:r>
            <w:r w:rsidRPr="008C7BD3">
              <w:rPr>
                <w:rFonts w:ascii="Times New Roman" w:hAnsi="Times New Roman" w:hint="eastAsia"/>
                <w:bCs/>
                <w:iCs/>
                <w:sz w:val="24"/>
              </w:rPr>
              <w:t>套，合作方包括苏州</w:t>
            </w:r>
            <w:r w:rsidR="00061BB0">
              <w:rPr>
                <w:rFonts w:ascii="Times New Roman" w:hAnsi="Times New Roman" w:hint="eastAsia"/>
                <w:bCs/>
                <w:iCs/>
                <w:sz w:val="24"/>
              </w:rPr>
              <w:t>金龙、南京金龙、中通客车、苏州海格、比亚迪、珠海银隆、上海申沃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等；闸机核心部件</w:t>
            </w:r>
            <w:r w:rsidR="00B90D46">
              <w:rPr>
                <w:rFonts w:ascii="Times New Roman" w:hAnsi="Times New Roman" w:hint="eastAsia"/>
                <w:bCs/>
                <w:iCs/>
                <w:sz w:val="24"/>
              </w:rPr>
              <w:t>已成功投入市场，在南京地铁部分站台上实现对进口产品的国产化替代；自动翻转桌椅已顺利通过认证，进入试运行阶段。</w:t>
            </w:r>
          </w:p>
          <w:p w:rsidR="00B90D46" w:rsidRPr="00B90D46" w:rsidRDefault="00B90D46" w:rsidP="00B90D46">
            <w:pPr>
              <w:spacing w:line="480" w:lineRule="atLeast"/>
              <w:ind w:firstLineChars="150" w:firstLine="36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3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、</w:t>
            </w:r>
            <w:proofErr w:type="gramStart"/>
            <w:r>
              <w:rPr>
                <w:rFonts w:ascii="Times New Roman" w:hAnsi="Times New Roman" w:hint="eastAsia"/>
                <w:bCs/>
                <w:iCs/>
                <w:sz w:val="24"/>
              </w:rPr>
              <w:t>请简单</w:t>
            </w:r>
            <w:proofErr w:type="gramEnd"/>
            <w:r>
              <w:rPr>
                <w:rFonts w:ascii="Times New Roman" w:hAnsi="Times New Roman" w:hint="eastAsia"/>
                <w:bCs/>
                <w:iCs/>
                <w:sz w:val="24"/>
              </w:rPr>
              <w:t>介绍下本次收购的广东龙昕科技有限公司的基本情况？</w:t>
            </w:r>
          </w:p>
          <w:p w:rsidR="00B90D46" w:rsidRPr="00B90D46" w:rsidRDefault="00B90D46" w:rsidP="00B90D46">
            <w:pPr>
              <w:spacing w:line="480" w:lineRule="atLeast"/>
              <w:ind w:firstLineChars="150" w:firstLine="360"/>
              <w:rPr>
                <w:bCs/>
                <w:iCs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龙昕科技主要以表面处理业务为核心，向产业链前、后端延伸，打造消费电子精密结构件表面处理整体解决方案提供商。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龙昕科技深耕塑胶表面处理领域，工艺成熟，种类全面；与</w:t>
            </w:r>
            <w:r w:rsidR="00E4025E">
              <w:rPr>
                <w:rFonts w:ascii="Times New Roman" w:hAnsi="Times New Roman" w:hint="eastAsia"/>
                <w:bCs/>
                <w:iCs/>
                <w:sz w:val="24"/>
              </w:rPr>
              <w:t>OPPO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合作开发</w:t>
            </w:r>
            <w:r w:rsidRPr="00B90D46">
              <w:rPr>
                <w:rFonts w:ascii="Times New Roman" w:hAnsi="Times New Roman"/>
                <w:bCs/>
                <w:iCs/>
                <w:sz w:val="24"/>
              </w:rPr>
              <w:t>NCL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工艺，目前已大量投产，技术和产量水平均为业内龙头。</w:t>
            </w:r>
            <w:r w:rsidRPr="00B90D46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="00061BB0">
              <w:rPr>
                <w:rFonts w:ascii="Times New Roman" w:hAnsi="Times New Roman" w:hint="eastAsia"/>
                <w:bCs/>
                <w:iCs/>
                <w:sz w:val="24"/>
              </w:rPr>
              <w:t>塑胶金属化、</w:t>
            </w:r>
            <w:r w:rsidR="00546B9B">
              <w:rPr>
                <w:rFonts w:ascii="Times New Roman" w:hAnsi="Times New Roman" w:hint="eastAsia"/>
                <w:bCs/>
                <w:iCs/>
                <w:sz w:val="24"/>
              </w:rPr>
              <w:t>金属</w:t>
            </w:r>
            <w:r w:rsidR="00061BB0">
              <w:rPr>
                <w:rFonts w:ascii="Times New Roman" w:hAnsi="Times New Roman" w:hint="eastAsia"/>
                <w:bCs/>
                <w:iCs/>
                <w:sz w:val="24"/>
              </w:rPr>
              <w:t>陶瓷化、复合材料玻璃化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等材料的技术储备，与行业发展趋势吻合。凭借深厚的技术积淀和产业资源，龙昕科技被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OPPO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、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VIVO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、华为、小米、三星、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LG</w:t>
            </w:r>
            <w:r w:rsidRPr="00B90D46">
              <w:rPr>
                <w:rFonts w:ascii="Times New Roman" w:hAnsi="Times New Roman" w:hint="eastAsia"/>
                <w:bCs/>
                <w:iCs/>
                <w:sz w:val="24"/>
              </w:rPr>
              <w:t>等国内外多家著名消费电子厂商认证为合格供应商。</w:t>
            </w:r>
          </w:p>
          <w:p w:rsidR="00CB74BA" w:rsidRPr="00B90D46" w:rsidRDefault="00B90D46" w:rsidP="00B90D46">
            <w:pPr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B90D4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="003921B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、</w:t>
            </w:r>
            <w:r w:rsidRPr="00B90D4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龙昕科技表面处理业务的毛利率情况</w:t>
            </w:r>
            <w:r w:rsidR="003921B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如何</w:t>
            </w:r>
            <w:r w:rsidRPr="00B90D4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？</w:t>
            </w:r>
          </w:p>
          <w:p w:rsidR="003921B8" w:rsidRDefault="003921B8" w:rsidP="003921B8">
            <w:pPr>
              <w:spacing w:line="480" w:lineRule="atLeast"/>
              <w:ind w:firstLineChars="100" w:firstLine="240"/>
              <w:rPr>
                <w:rFonts w:ascii="Times New Roman" w:hAnsi="Times New Roman" w:hint="eastAsia"/>
                <w:bCs/>
                <w:iCs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龙昕科技表面处理业务的综合毛利率在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35%</w:t>
            </w:r>
            <w:r>
              <w:rPr>
                <w:rFonts w:ascii="Times New Roman" w:hAnsi="Times New Roman" w:hint="eastAsia"/>
                <w:bCs/>
                <w:iCs/>
                <w:sz w:val="24"/>
              </w:rPr>
              <w:t>左右。</w:t>
            </w:r>
          </w:p>
          <w:p w:rsidR="00D972D0" w:rsidRPr="009C00D1" w:rsidRDefault="003921B8" w:rsidP="003921B8">
            <w:pPr>
              <w:spacing w:line="480" w:lineRule="atLeast"/>
              <w:ind w:firstLineChars="100" w:firstLine="240"/>
              <w:rPr>
                <w:rFonts w:ascii="Times New Roman" w:hAnsi="Times New Roman"/>
                <w:bCs/>
                <w:iCs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sz w:val="24"/>
              </w:rPr>
              <w:t>龙</w:t>
            </w:r>
            <w:r w:rsidR="00BC0B20" w:rsidRPr="008274E0">
              <w:rPr>
                <w:rFonts w:ascii="Times New Roman" w:hAnsi="Times New Roman" w:hint="eastAsia"/>
                <w:bCs/>
                <w:iCs/>
                <w:sz w:val="24"/>
              </w:rPr>
              <w:t>昕主要做终端品牌的</w:t>
            </w:r>
            <w:r w:rsidR="008274E0" w:rsidRPr="008274E0">
              <w:rPr>
                <w:rFonts w:ascii="Times New Roman" w:hAnsi="Times New Roman" w:hint="eastAsia"/>
                <w:bCs/>
                <w:iCs/>
                <w:sz w:val="24"/>
              </w:rPr>
              <w:t>旗舰</w:t>
            </w:r>
            <w:r w:rsidR="00BC0B20" w:rsidRPr="008274E0">
              <w:rPr>
                <w:rFonts w:ascii="Times New Roman" w:hAnsi="Times New Roman" w:hint="eastAsia"/>
                <w:bCs/>
                <w:iCs/>
                <w:sz w:val="24"/>
              </w:rPr>
              <w:t>机型，</w:t>
            </w:r>
            <w:r w:rsidR="006E31F1" w:rsidRPr="008274E0">
              <w:rPr>
                <w:rFonts w:ascii="Times New Roman" w:hAnsi="Times New Roman" w:hint="eastAsia"/>
                <w:bCs/>
                <w:iCs/>
                <w:sz w:val="24"/>
              </w:rPr>
              <w:t>可以说是</w:t>
            </w:r>
            <w:r w:rsidR="00BC0B20" w:rsidRPr="008274E0">
              <w:rPr>
                <w:rFonts w:ascii="Times New Roman" w:hAnsi="Times New Roman" w:hint="eastAsia"/>
                <w:bCs/>
                <w:iCs/>
                <w:sz w:val="24"/>
              </w:rPr>
              <w:t>引领表面处理</w:t>
            </w:r>
            <w:r w:rsidR="008274E0">
              <w:rPr>
                <w:rFonts w:ascii="Times New Roman" w:hAnsi="Times New Roman" w:hint="eastAsia"/>
                <w:bCs/>
                <w:iCs/>
                <w:sz w:val="24"/>
              </w:rPr>
              <w:t>方向的机型；</w:t>
            </w:r>
            <w:r w:rsidR="00B90D46">
              <w:rPr>
                <w:rFonts w:ascii="Times New Roman" w:hAnsi="Times New Roman" w:hint="eastAsia"/>
                <w:bCs/>
                <w:iCs/>
                <w:sz w:val="24"/>
              </w:rPr>
              <w:lastRenderedPageBreak/>
              <w:t>同时</w:t>
            </w:r>
            <w:r w:rsidR="006E31F1" w:rsidRPr="008274E0"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表面处理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主要有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两大类，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一类是采用化学技术进行表面处理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（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苹果</w:t>
            </w:r>
            <w:r w:rsidR="00FC302B" w:rsidRPr="008274E0">
              <w:rPr>
                <w:rFonts w:ascii="Times New Roman" w:hAnsi="Times New Roman" w:hint="eastAsia"/>
                <w:bCs/>
                <w:iCs/>
                <w:sz w:val="24"/>
              </w:rPr>
              <w:t>等</w:t>
            </w:r>
            <w:r w:rsidR="00FC302B" w:rsidRPr="008274E0">
              <w:rPr>
                <w:rFonts w:ascii="Times New Roman" w:hAnsi="Times New Roman"/>
                <w:bCs/>
                <w:iCs/>
                <w:sz w:val="24"/>
              </w:rPr>
              <w:t>铝合金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的手机产品，龙昕未涉及该领域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），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另一类采用物理技术进行表面处理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（塑料、陶瓷</w:t>
            </w:r>
            <w:r w:rsidR="00FC302B" w:rsidRPr="008274E0">
              <w:rPr>
                <w:rFonts w:ascii="Times New Roman" w:hAnsi="Times New Roman" w:hint="eastAsia"/>
                <w:bCs/>
                <w:iCs/>
                <w:sz w:val="24"/>
              </w:rPr>
              <w:t>、玻璃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等）。表面处理的工序非常繁杂，可能需要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20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多道工序，</w:t>
            </w:r>
            <w:proofErr w:type="gramStart"/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制程非常</w:t>
            </w:r>
            <w:proofErr w:type="gramEnd"/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长，技术含量非常高，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且</w:t>
            </w:r>
            <w:proofErr w:type="gramStart"/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物料费</w:t>
            </w:r>
            <w:proofErr w:type="gramEnd"/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很难估算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。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因为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开发难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、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工艺复杂</w:t>
            </w:r>
            <w:r w:rsidR="00CB74BA" w:rsidRPr="008274E0">
              <w:rPr>
                <w:rFonts w:ascii="Times New Roman" w:hAnsi="Times New Roman" w:hint="eastAsia"/>
                <w:bCs/>
                <w:iCs/>
                <w:sz w:val="24"/>
              </w:rPr>
              <w:t>的因素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，大部分一级供应商不做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，龙昕表面处理每一道工序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的良品率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保持在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98%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左右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，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经过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20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道</w:t>
            </w:r>
            <w:proofErr w:type="gramStart"/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工序后良品</w:t>
            </w:r>
            <w:proofErr w:type="gramEnd"/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率也可以达到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80%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，</w:t>
            </w:r>
            <w:r w:rsidR="00A439B8" w:rsidRPr="008274E0">
              <w:rPr>
                <w:rFonts w:ascii="Times New Roman" w:hAnsi="Times New Roman" w:hint="eastAsia"/>
                <w:bCs/>
                <w:iCs/>
                <w:sz w:val="24"/>
              </w:rPr>
              <w:t>综合上面多种因素，因此出现表面处理业务</w:t>
            </w:r>
            <w:r w:rsidR="00371962">
              <w:rPr>
                <w:rFonts w:ascii="Times New Roman" w:hAnsi="Times New Roman" w:hint="eastAsia"/>
                <w:bCs/>
                <w:iCs/>
                <w:sz w:val="24"/>
              </w:rPr>
              <w:t>一直处于较高的毛利率水平，</w:t>
            </w:r>
            <w:r w:rsidR="008654FC" w:rsidRPr="008274E0">
              <w:rPr>
                <w:rFonts w:ascii="Times New Roman" w:hAnsi="Times New Roman" w:hint="eastAsia"/>
                <w:bCs/>
                <w:iCs/>
                <w:sz w:val="24"/>
              </w:rPr>
              <w:t>比结构件生产的毛利率和净利率高</w:t>
            </w:r>
            <w:r w:rsidR="00CB74BA" w:rsidRPr="008274E0">
              <w:rPr>
                <w:rFonts w:ascii="Times New Roman" w:hAnsi="Times New Roman"/>
                <w:bCs/>
                <w:iCs/>
                <w:sz w:val="24"/>
              </w:rPr>
              <w:t>。</w:t>
            </w:r>
          </w:p>
        </w:tc>
      </w:tr>
    </w:tbl>
    <w:p w:rsidR="00056178" w:rsidRPr="00606AF1" w:rsidRDefault="00056178" w:rsidP="00BE4C99">
      <w:pPr>
        <w:rPr>
          <w:rFonts w:ascii="Times New Roman" w:hAnsi="Times New Roman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056178" w:rsidRPr="00606AF1" w:rsidTr="004E26E0">
        <w:trPr>
          <w:trHeight w:val="760"/>
        </w:trPr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740" w:type="dxa"/>
            <w:vAlign w:val="center"/>
          </w:tcPr>
          <w:p w:rsidR="00056178" w:rsidRPr="00606AF1" w:rsidRDefault="00056178" w:rsidP="004E26E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056178" w:rsidRPr="00606AF1" w:rsidTr="004E26E0">
        <w:trPr>
          <w:trHeight w:val="939"/>
        </w:trPr>
        <w:tc>
          <w:tcPr>
            <w:tcW w:w="3060" w:type="dxa"/>
            <w:vAlign w:val="center"/>
          </w:tcPr>
          <w:p w:rsidR="00056178" w:rsidRPr="00606AF1" w:rsidRDefault="00056178" w:rsidP="004E26E0">
            <w:pPr>
              <w:spacing w:line="48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40" w:type="dxa"/>
            <w:vAlign w:val="center"/>
          </w:tcPr>
          <w:p w:rsidR="00056178" w:rsidRPr="00606AF1" w:rsidRDefault="00056178" w:rsidP="009C00D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606AF1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年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月</w:t>
            </w:r>
            <w:r w:rsidR="009C00D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606AF1">
              <w:rPr>
                <w:rFonts w:ascii="Times New Roman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056178" w:rsidRPr="00606AF1" w:rsidRDefault="00056178" w:rsidP="00BE4C99">
      <w:pPr>
        <w:rPr>
          <w:rFonts w:ascii="Times New Roman" w:hAnsi="Times New Roman"/>
        </w:rPr>
      </w:pPr>
    </w:p>
    <w:p w:rsidR="00056178" w:rsidRPr="00606AF1" w:rsidRDefault="00056178">
      <w:pPr>
        <w:rPr>
          <w:rFonts w:ascii="Times New Roman" w:hAnsi="Times New Roman"/>
        </w:rPr>
      </w:pPr>
    </w:p>
    <w:sectPr w:rsidR="00056178" w:rsidRPr="00606AF1" w:rsidSect="00E1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2F" w:rsidRDefault="0055302F" w:rsidP="00DF633A">
      <w:r>
        <w:separator/>
      </w:r>
    </w:p>
  </w:endnote>
  <w:endnote w:type="continuationSeparator" w:id="0">
    <w:p w:rsidR="0055302F" w:rsidRDefault="0055302F" w:rsidP="00DF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2F" w:rsidRDefault="0055302F" w:rsidP="00DF633A">
      <w:r>
        <w:separator/>
      </w:r>
    </w:p>
  </w:footnote>
  <w:footnote w:type="continuationSeparator" w:id="0">
    <w:p w:rsidR="0055302F" w:rsidRDefault="0055302F" w:rsidP="00DF6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3A"/>
    <w:rsid w:val="000010BE"/>
    <w:rsid w:val="00011E9C"/>
    <w:rsid w:val="0001624D"/>
    <w:rsid w:val="00016465"/>
    <w:rsid w:val="0001647C"/>
    <w:rsid w:val="00021040"/>
    <w:rsid w:val="00021A33"/>
    <w:rsid w:val="00031D56"/>
    <w:rsid w:val="0003345C"/>
    <w:rsid w:val="00036222"/>
    <w:rsid w:val="00036693"/>
    <w:rsid w:val="000371D5"/>
    <w:rsid w:val="00037782"/>
    <w:rsid w:val="000401FE"/>
    <w:rsid w:val="00040F05"/>
    <w:rsid w:val="00041822"/>
    <w:rsid w:val="00043C17"/>
    <w:rsid w:val="00050A75"/>
    <w:rsid w:val="00052F8E"/>
    <w:rsid w:val="000544BC"/>
    <w:rsid w:val="00056178"/>
    <w:rsid w:val="00057E0E"/>
    <w:rsid w:val="00061BB0"/>
    <w:rsid w:val="00062491"/>
    <w:rsid w:val="000625C2"/>
    <w:rsid w:val="0006675D"/>
    <w:rsid w:val="00066D3E"/>
    <w:rsid w:val="000670CF"/>
    <w:rsid w:val="000704F1"/>
    <w:rsid w:val="0007325C"/>
    <w:rsid w:val="00073885"/>
    <w:rsid w:val="000743EE"/>
    <w:rsid w:val="00074D95"/>
    <w:rsid w:val="00075B49"/>
    <w:rsid w:val="00075D9E"/>
    <w:rsid w:val="000807CC"/>
    <w:rsid w:val="00080FEF"/>
    <w:rsid w:val="000832C5"/>
    <w:rsid w:val="00084444"/>
    <w:rsid w:val="0009318A"/>
    <w:rsid w:val="00093FF4"/>
    <w:rsid w:val="00094972"/>
    <w:rsid w:val="00097F07"/>
    <w:rsid w:val="000A0BFE"/>
    <w:rsid w:val="000A230D"/>
    <w:rsid w:val="000A7A35"/>
    <w:rsid w:val="000B1FD2"/>
    <w:rsid w:val="000B37A5"/>
    <w:rsid w:val="000B4EC3"/>
    <w:rsid w:val="000B5EC9"/>
    <w:rsid w:val="000C08D0"/>
    <w:rsid w:val="000C226B"/>
    <w:rsid w:val="000C25A7"/>
    <w:rsid w:val="000C52F8"/>
    <w:rsid w:val="000D2D83"/>
    <w:rsid w:val="000D464A"/>
    <w:rsid w:val="000D60EA"/>
    <w:rsid w:val="000E04A0"/>
    <w:rsid w:val="000E25AE"/>
    <w:rsid w:val="000E5373"/>
    <w:rsid w:val="000E540E"/>
    <w:rsid w:val="000E55F5"/>
    <w:rsid w:val="000E6F0E"/>
    <w:rsid w:val="000F0052"/>
    <w:rsid w:val="000F0777"/>
    <w:rsid w:val="000F2610"/>
    <w:rsid w:val="000F2966"/>
    <w:rsid w:val="000F6552"/>
    <w:rsid w:val="000F70D8"/>
    <w:rsid w:val="00100186"/>
    <w:rsid w:val="001027FE"/>
    <w:rsid w:val="00103893"/>
    <w:rsid w:val="00103B6D"/>
    <w:rsid w:val="00105460"/>
    <w:rsid w:val="00105D28"/>
    <w:rsid w:val="0010694F"/>
    <w:rsid w:val="00106AF6"/>
    <w:rsid w:val="00107BF6"/>
    <w:rsid w:val="0011064E"/>
    <w:rsid w:val="001114F4"/>
    <w:rsid w:val="00113C0F"/>
    <w:rsid w:val="001149F7"/>
    <w:rsid w:val="001203D5"/>
    <w:rsid w:val="001212FF"/>
    <w:rsid w:val="0012208C"/>
    <w:rsid w:val="001220AF"/>
    <w:rsid w:val="00127E9F"/>
    <w:rsid w:val="001301ED"/>
    <w:rsid w:val="001303E6"/>
    <w:rsid w:val="001312D6"/>
    <w:rsid w:val="001326C8"/>
    <w:rsid w:val="00135CED"/>
    <w:rsid w:val="00137630"/>
    <w:rsid w:val="00137904"/>
    <w:rsid w:val="00140221"/>
    <w:rsid w:val="001409DB"/>
    <w:rsid w:val="00140D94"/>
    <w:rsid w:val="00141DF0"/>
    <w:rsid w:val="00141F1C"/>
    <w:rsid w:val="001427F7"/>
    <w:rsid w:val="001535DA"/>
    <w:rsid w:val="00154367"/>
    <w:rsid w:val="00154C1E"/>
    <w:rsid w:val="00155B97"/>
    <w:rsid w:val="00155C83"/>
    <w:rsid w:val="00156941"/>
    <w:rsid w:val="0015776F"/>
    <w:rsid w:val="00162B6D"/>
    <w:rsid w:val="00163C84"/>
    <w:rsid w:val="00163E0F"/>
    <w:rsid w:val="00166CF0"/>
    <w:rsid w:val="0016767D"/>
    <w:rsid w:val="00167D75"/>
    <w:rsid w:val="0017088E"/>
    <w:rsid w:val="00170A64"/>
    <w:rsid w:val="00171F15"/>
    <w:rsid w:val="00172216"/>
    <w:rsid w:val="00172F04"/>
    <w:rsid w:val="00175888"/>
    <w:rsid w:val="00175D62"/>
    <w:rsid w:val="001801B1"/>
    <w:rsid w:val="00180A57"/>
    <w:rsid w:val="00182006"/>
    <w:rsid w:val="00184F1E"/>
    <w:rsid w:val="001850C6"/>
    <w:rsid w:val="0018719B"/>
    <w:rsid w:val="0019035A"/>
    <w:rsid w:val="00192C08"/>
    <w:rsid w:val="00192ECB"/>
    <w:rsid w:val="00194920"/>
    <w:rsid w:val="00194DDA"/>
    <w:rsid w:val="00195632"/>
    <w:rsid w:val="001964C5"/>
    <w:rsid w:val="00196B1F"/>
    <w:rsid w:val="00197C86"/>
    <w:rsid w:val="001A483F"/>
    <w:rsid w:val="001A762C"/>
    <w:rsid w:val="001B2E60"/>
    <w:rsid w:val="001B3C1B"/>
    <w:rsid w:val="001B4612"/>
    <w:rsid w:val="001B4838"/>
    <w:rsid w:val="001B507A"/>
    <w:rsid w:val="001B6BB9"/>
    <w:rsid w:val="001B7A54"/>
    <w:rsid w:val="001C005D"/>
    <w:rsid w:val="001C16B1"/>
    <w:rsid w:val="001C303B"/>
    <w:rsid w:val="001C60EE"/>
    <w:rsid w:val="001C6455"/>
    <w:rsid w:val="001C65A0"/>
    <w:rsid w:val="001C6709"/>
    <w:rsid w:val="001D016F"/>
    <w:rsid w:val="001D0574"/>
    <w:rsid w:val="001D1E9A"/>
    <w:rsid w:val="001D405C"/>
    <w:rsid w:val="001D4871"/>
    <w:rsid w:val="001E21B2"/>
    <w:rsid w:val="001E25BF"/>
    <w:rsid w:val="001E323E"/>
    <w:rsid w:val="001E4962"/>
    <w:rsid w:val="001E5E64"/>
    <w:rsid w:val="001E67D1"/>
    <w:rsid w:val="001E68C2"/>
    <w:rsid w:val="001E7EBC"/>
    <w:rsid w:val="001F49B1"/>
    <w:rsid w:val="00202D97"/>
    <w:rsid w:val="00204CD6"/>
    <w:rsid w:val="00205677"/>
    <w:rsid w:val="0020668F"/>
    <w:rsid w:val="0020749E"/>
    <w:rsid w:val="00210D1F"/>
    <w:rsid w:val="00215F42"/>
    <w:rsid w:val="00216106"/>
    <w:rsid w:val="00216A7F"/>
    <w:rsid w:val="00217837"/>
    <w:rsid w:val="00217A67"/>
    <w:rsid w:val="002267BC"/>
    <w:rsid w:val="002273FA"/>
    <w:rsid w:val="0022761E"/>
    <w:rsid w:val="002308AC"/>
    <w:rsid w:val="00232A40"/>
    <w:rsid w:val="00234699"/>
    <w:rsid w:val="00235BCE"/>
    <w:rsid w:val="00235C58"/>
    <w:rsid w:val="00236226"/>
    <w:rsid w:val="00240B15"/>
    <w:rsid w:val="00242FDA"/>
    <w:rsid w:val="00245C59"/>
    <w:rsid w:val="002477F9"/>
    <w:rsid w:val="00247BD0"/>
    <w:rsid w:val="00252590"/>
    <w:rsid w:val="00252905"/>
    <w:rsid w:val="00252FC7"/>
    <w:rsid w:val="002538D2"/>
    <w:rsid w:val="00256F0E"/>
    <w:rsid w:val="00260ABA"/>
    <w:rsid w:val="00260DDD"/>
    <w:rsid w:val="002626B6"/>
    <w:rsid w:val="0026665A"/>
    <w:rsid w:val="00267926"/>
    <w:rsid w:val="0027283C"/>
    <w:rsid w:val="00272972"/>
    <w:rsid w:val="0027656B"/>
    <w:rsid w:val="00276E87"/>
    <w:rsid w:val="00284211"/>
    <w:rsid w:val="00286955"/>
    <w:rsid w:val="00294A63"/>
    <w:rsid w:val="00294B1A"/>
    <w:rsid w:val="00294C3A"/>
    <w:rsid w:val="002960E7"/>
    <w:rsid w:val="00296D4B"/>
    <w:rsid w:val="0029743E"/>
    <w:rsid w:val="002B1023"/>
    <w:rsid w:val="002B1D96"/>
    <w:rsid w:val="002B4614"/>
    <w:rsid w:val="002B630D"/>
    <w:rsid w:val="002C4938"/>
    <w:rsid w:val="002C4EE1"/>
    <w:rsid w:val="002D1901"/>
    <w:rsid w:val="002D3547"/>
    <w:rsid w:val="002D3AC4"/>
    <w:rsid w:val="002D3C9B"/>
    <w:rsid w:val="002D58A7"/>
    <w:rsid w:val="002D6214"/>
    <w:rsid w:val="002D7DF6"/>
    <w:rsid w:val="002E0C43"/>
    <w:rsid w:val="002E5106"/>
    <w:rsid w:val="002E6DC5"/>
    <w:rsid w:val="002F2C5F"/>
    <w:rsid w:val="002F3407"/>
    <w:rsid w:val="002F55BD"/>
    <w:rsid w:val="00304734"/>
    <w:rsid w:val="0030783A"/>
    <w:rsid w:val="003106C1"/>
    <w:rsid w:val="003135F9"/>
    <w:rsid w:val="003154E9"/>
    <w:rsid w:val="0031618B"/>
    <w:rsid w:val="003175DF"/>
    <w:rsid w:val="00320366"/>
    <w:rsid w:val="00320FB2"/>
    <w:rsid w:val="003309D3"/>
    <w:rsid w:val="0033135B"/>
    <w:rsid w:val="0033251D"/>
    <w:rsid w:val="00336FAE"/>
    <w:rsid w:val="003370B4"/>
    <w:rsid w:val="003376C6"/>
    <w:rsid w:val="00343030"/>
    <w:rsid w:val="003458AF"/>
    <w:rsid w:val="00347127"/>
    <w:rsid w:val="00352B6D"/>
    <w:rsid w:val="003572C3"/>
    <w:rsid w:val="00357B7D"/>
    <w:rsid w:val="00360B56"/>
    <w:rsid w:val="00362A7F"/>
    <w:rsid w:val="003644F8"/>
    <w:rsid w:val="00364DFA"/>
    <w:rsid w:val="00364FC8"/>
    <w:rsid w:val="003659AF"/>
    <w:rsid w:val="0036738B"/>
    <w:rsid w:val="00371962"/>
    <w:rsid w:val="00371F49"/>
    <w:rsid w:val="003723EA"/>
    <w:rsid w:val="00372CD6"/>
    <w:rsid w:val="00376E8F"/>
    <w:rsid w:val="00377169"/>
    <w:rsid w:val="00377707"/>
    <w:rsid w:val="003816A1"/>
    <w:rsid w:val="003850AF"/>
    <w:rsid w:val="00386443"/>
    <w:rsid w:val="00391A00"/>
    <w:rsid w:val="00391BEB"/>
    <w:rsid w:val="003921B8"/>
    <w:rsid w:val="00397575"/>
    <w:rsid w:val="003A046B"/>
    <w:rsid w:val="003A07BF"/>
    <w:rsid w:val="003A2D44"/>
    <w:rsid w:val="003A578F"/>
    <w:rsid w:val="003B32A0"/>
    <w:rsid w:val="003B4BF7"/>
    <w:rsid w:val="003B5DE0"/>
    <w:rsid w:val="003C0C43"/>
    <w:rsid w:val="003C2804"/>
    <w:rsid w:val="003C6F5F"/>
    <w:rsid w:val="003C71A4"/>
    <w:rsid w:val="003C71C7"/>
    <w:rsid w:val="003C7409"/>
    <w:rsid w:val="003D0CCC"/>
    <w:rsid w:val="003D2C85"/>
    <w:rsid w:val="003D3C38"/>
    <w:rsid w:val="003D5245"/>
    <w:rsid w:val="003D744F"/>
    <w:rsid w:val="003D7B0F"/>
    <w:rsid w:val="003E38F5"/>
    <w:rsid w:val="003E6021"/>
    <w:rsid w:val="003E744D"/>
    <w:rsid w:val="003E78C9"/>
    <w:rsid w:val="003F0ADA"/>
    <w:rsid w:val="003F318B"/>
    <w:rsid w:val="003F64F1"/>
    <w:rsid w:val="0040083A"/>
    <w:rsid w:val="00402964"/>
    <w:rsid w:val="00403967"/>
    <w:rsid w:val="00403D1A"/>
    <w:rsid w:val="0040580A"/>
    <w:rsid w:val="00406028"/>
    <w:rsid w:val="00410649"/>
    <w:rsid w:val="0041100A"/>
    <w:rsid w:val="00412A8E"/>
    <w:rsid w:val="004141AA"/>
    <w:rsid w:val="004154EC"/>
    <w:rsid w:val="00415D78"/>
    <w:rsid w:val="00417AE6"/>
    <w:rsid w:val="004216F7"/>
    <w:rsid w:val="004226FD"/>
    <w:rsid w:val="00423C6C"/>
    <w:rsid w:val="00425031"/>
    <w:rsid w:val="00426C0B"/>
    <w:rsid w:val="004270E6"/>
    <w:rsid w:val="00431C77"/>
    <w:rsid w:val="00432F5A"/>
    <w:rsid w:val="004336E6"/>
    <w:rsid w:val="00435303"/>
    <w:rsid w:val="00436182"/>
    <w:rsid w:val="00436567"/>
    <w:rsid w:val="004370B5"/>
    <w:rsid w:val="00440198"/>
    <w:rsid w:val="004427D9"/>
    <w:rsid w:val="00443CC8"/>
    <w:rsid w:val="00454D3D"/>
    <w:rsid w:val="00456627"/>
    <w:rsid w:val="00460A90"/>
    <w:rsid w:val="0046147F"/>
    <w:rsid w:val="00461E9A"/>
    <w:rsid w:val="00462E0D"/>
    <w:rsid w:val="004636C8"/>
    <w:rsid w:val="00465515"/>
    <w:rsid w:val="00467CF6"/>
    <w:rsid w:val="00471549"/>
    <w:rsid w:val="004722A3"/>
    <w:rsid w:val="00473F73"/>
    <w:rsid w:val="00475BB0"/>
    <w:rsid w:val="00480F6B"/>
    <w:rsid w:val="004810B3"/>
    <w:rsid w:val="00481792"/>
    <w:rsid w:val="00482C48"/>
    <w:rsid w:val="00485927"/>
    <w:rsid w:val="00486254"/>
    <w:rsid w:val="004867AF"/>
    <w:rsid w:val="0049550A"/>
    <w:rsid w:val="00495842"/>
    <w:rsid w:val="004A02BC"/>
    <w:rsid w:val="004A0564"/>
    <w:rsid w:val="004A0A6C"/>
    <w:rsid w:val="004A1B5B"/>
    <w:rsid w:val="004A30B0"/>
    <w:rsid w:val="004B2880"/>
    <w:rsid w:val="004C08FE"/>
    <w:rsid w:val="004C239C"/>
    <w:rsid w:val="004C2B95"/>
    <w:rsid w:val="004C2F61"/>
    <w:rsid w:val="004C43A6"/>
    <w:rsid w:val="004C4E76"/>
    <w:rsid w:val="004D2FC5"/>
    <w:rsid w:val="004D396A"/>
    <w:rsid w:val="004D3CB9"/>
    <w:rsid w:val="004D447C"/>
    <w:rsid w:val="004D74E5"/>
    <w:rsid w:val="004D7EB6"/>
    <w:rsid w:val="004E26E0"/>
    <w:rsid w:val="004E370E"/>
    <w:rsid w:val="004E683E"/>
    <w:rsid w:val="004F1700"/>
    <w:rsid w:val="004F1BE3"/>
    <w:rsid w:val="004F4083"/>
    <w:rsid w:val="004F62D9"/>
    <w:rsid w:val="004F6852"/>
    <w:rsid w:val="004F6991"/>
    <w:rsid w:val="004F7BE5"/>
    <w:rsid w:val="004F7DBE"/>
    <w:rsid w:val="0050014E"/>
    <w:rsid w:val="005022D5"/>
    <w:rsid w:val="005121E4"/>
    <w:rsid w:val="00512279"/>
    <w:rsid w:val="00515BB0"/>
    <w:rsid w:val="0051752D"/>
    <w:rsid w:val="00520FC1"/>
    <w:rsid w:val="00524797"/>
    <w:rsid w:val="0052593C"/>
    <w:rsid w:val="005276EC"/>
    <w:rsid w:val="00535229"/>
    <w:rsid w:val="0053730E"/>
    <w:rsid w:val="005377F6"/>
    <w:rsid w:val="00540FA1"/>
    <w:rsid w:val="005417E8"/>
    <w:rsid w:val="00542BB1"/>
    <w:rsid w:val="005434A3"/>
    <w:rsid w:val="00543F3E"/>
    <w:rsid w:val="00544711"/>
    <w:rsid w:val="00546B9B"/>
    <w:rsid w:val="00551C50"/>
    <w:rsid w:val="005520B6"/>
    <w:rsid w:val="00552895"/>
    <w:rsid w:val="00552B7B"/>
    <w:rsid w:val="0055302F"/>
    <w:rsid w:val="00553DF9"/>
    <w:rsid w:val="005542D6"/>
    <w:rsid w:val="00555B06"/>
    <w:rsid w:val="00556FAE"/>
    <w:rsid w:val="0055741E"/>
    <w:rsid w:val="00564063"/>
    <w:rsid w:val="0056681A"/>
    <w:rsid w:val="00567ABB"/>
    <w:rsid w:val="00570965"/>
    <w:rsid w:val="00572FDE"/>
    <w:rsid w:val="00574488"/>
    <w:rsid w:val="00577154"/>
    <w:rsid w:val="00580F57"/>
    <w:rsid w:val="00581DB5"/>
    <w:rsid w:val="00584683"/>
    <w:rsid w:val="00587BEB"/>
    <w:rsid w:val="00590279"/>
    <w:rsid w:val="005920E1"/>
    <w:rsid w:val="005955AE"/>
    <w:rsid w:val="00595F3C"/>
    <w:rsid w:val="00596165"/>
    <w:rsid w:val="00597290"/>
    <w:rsid w:val="005A1521"/>
    <w:rsid w:val="005A5CB3"/>
    <w:rsid w:val="005A5E28"/>
    <w:rsid w:val="005B0040"/>
    <w:rsid w:val="005B4AD8"/>
    <w:rsid w:val="005C0D7F"/>
    <w:rsid w:val="005C4056"/>
    <w:rsid w:val="005D0A18"/>
    <w:rsid w:val="005D543B"/>
    <w:rsid w:val="005D7F10"/>
    <w:rsid w:val="005E3426"/>
    <w:rsid w:val="005E73F5"/>
    <w:rsid w:val="005F263F"/>
    <w:rsid w:val="005F3A74"/>
    <w:rsid w:val="005F4125"/>
    <w:rsid w:val="005F52E9"/>
    <w:rsid w:val="005F5B96"/>
    <w:rsid w:val="00600844"/>
    <w:rsid w:val="00606AF1"/>
    <w:rsid w:val="00606D3C"/>
    <w:rsid w:val="00611927"/>
    <w:rsid w:val="0062060E"/>
    <w:rsid w:val="006279FA"/>
    <w:rsid w:val="00630ECE"/>
    <w:rsid w:val="00633132"/>
    <w:rsid w:val="0063550D"/>
    <w:rsid w:val="00636B7A"/>
    <w:rsid w:val="0063752B"/>
    <w:rsid w:val="00640B67"/>
    <w:rsid w:val="00641CEC"/>
    <w:rsid w:val="00642D58"/>
    <w:rsid w:val="00645548"/>
    <w:rsid w:val="00647309"/>
    <w:rsid w:val="00647929"/>
    <w:rsid w:val="00647C8C"/>
    <w:rsid w:val="00647DD1"/>
    <w:rsid w:val="00652386"/>
    <w:rsid w:val="00652877"/>
    <w:rsid w:val="00655301"/>
    <w:rsid w:val="006561E8"/>
    <w:rsid w:val="0065656B"/>
    <w:rsid w:val="00656F59"/>
    <w:rsid w:val="006576A1"/>
    <w:rsid w:val="0066087F"/>
    <w:rsid w:val="00660A33"/>
    <w:rsid w:val="0066678F"/>
    <w:rsid w:val="0067004B"/>
    <w:rsid w:val="006711E5"/>
    <w:rsid w:val="0067256C"/>
    <w:rsid w:val="00672950"/>
    <w:rsid w:val="00672CCF"/>
    <w:rsid w:val="00673A7D"/>
    <w:rsid w:val="006764DF"/>
    <w:rsid w:val="00676925"/>
    <w:rsid w:val="00684CDA"/>
    <w:rsid w:val="006862A3"/>
    <w:rsid w:val="00692B65"/>
    <w:rsid w:val="006938A1"/>
    <w:rsid w:val="00694D0C"/>
    <w:rsid w:val="00695C45"/>
    <w:rsid w:val="006A7B19"/>
    <w:rsid w:val="006B0415"/>
    <w:rsid w:val="006B05A2"/>
    <w:rsid w:val="006C0AFA"/>
    <w:rsid w:val="006C0B8D"/>
    <w:rsid w:val="006C1067"/>
    <w:rsid w:val="006C291F"/>
    <w:rsid w:val="006C3DF2"/>
    <w:rsid w:val="006C43C9"/>
    <w:rsid w:val="006C5F3F"/>
    <w:rsid w:val="006C67BC"/>
    <w:rsid w:val="006C6A1D"/>
    <w:rsid w:val="006D5568"/>
    <w:rsid w:val="006E1834"/>
    <w:rsid w:val="006E24D1"/>
    <w:rsid w:val="006E31F1"/>
    <w:rsid w:val="006E3FDD"/>
    <w:rsid w:val="006E444A"/>
    <w:rsid w:val="006E77FE"/>
    <w:rsid w:val="006E7AE0"/>
    <w:rsid w:val="006F3563"/>
    <w:rsid w:val="006F3A8D"/>
    <w:rsid w:val="006F4148"/>
    <w:rsid w:val="00703C97"/>
    <w:rsid w:val="00705194"/>
    <w:rsid w:val="00705E2D"/>
    <w:rsid w:val="00706C54"/>
    <w:rsid w:val="007115D1"/>
    <w:rsid w:val="0071328C"/>
    <w:rsid w:val="00713313"/>
    <w:rsid w:val="00713A5D"/>
    <w:rsid w:val="00713DAB"/>
    <w:rsid w:val="00721B6D"/>
    <w:rsid w:val="00724CCB"/>
    <w:rsid w:val="007257E5"/>
    <w:rsid w:val="00727511"/>
    <w:rsid w:val="00731B05"/>
    <w:rsid w:val="00734618"/>
    <w:rsid w:val="0073798E"/>
    <w:rsid w:val="00741858"/>
    <w:rsid w:val="00744737"/>
    <w:rsid w:val="00744B97"/>
    <w:rsid w:val="0074619B"/>
    <w:rsid w:val="00747904"/>
    <w:rsid w:val="00751389"/>
    <w:rsid w:val="00751682"/>
    <w:rsid w:val="0075653D"/>
    <w:rsid w:val="00756A6E"/>
    <w:rsid w:val="00756FB8"/>
    <w:rsid w:val="00757FF2"/>
    <w:rsid w:val="007667BC"/>
    <w:rsid w:val="00766A8B"/>
    <w:rsid w:val="0076790E"/>
    <w:rsid w:val="00767B72"/>
    <w:rsid w:val="007737E6"/>
    <w:rsid w:val="00775587"/>
    <w:rsid w:val="00775900"/>
    <w:rsid w:val="007804FF"/>
    <w:rsid w:val="00781DF8"/>
    <w:rsid w:val="00782137"/>
    <w:rsid w:val="00782449"/>
    <w:rsid w:val="007836EA"/>
    <w:rsid w:val="00785B77"/>
    <w:rsid w:val="00787BC7"/>
    <w:rsid w:val="00790057"/>
    <w:rsid w:val="00791040"/>
    <w:rsid w:val="00791BE9"/>
    <w:rsid w:val="00794C5E"/>
    <w:rsid w:val="0079584D"/>
    <w:rsid w:val="007A080C"/>
    <w:rsid w:val="007A10F0"/>
    <w:rsid w:val="007A1B1D"/>
    <w:rsid w:val="007A25DC"/>
    <w:rsid w:val="007B0155"/>
    <w:rsid w:val="007B0DF9"/>
    <w:rsid w:val="007B4F78"/>
    <w:rsid w:val="007B6298"/>
    <w:rsid w:val="007B6532"/>
    <w:rsid w:val="007B6942"/>
    <w:rsid w:val="007B7352"/>
    <w:rsid w:val="007C487B"/>
    <w:rsid w:val="007D136E"/>
    <w:rsid w:val="007D181A"/>
    <w:rsid w:val="007D3616"/>
    <w:rsid w:val="007D3E64"/>
    <w:rsid w:val="007D5324"/>
    <w:rsid w:val="007D75D9"/>
    <w:rsid w:val="007E1AED"/>
    <w:rsid w:val="007E2422"/>
    <w:rsid w:val="007E293C"/>
    <w:rsid w:val="007E2E33"/>
    <w:rsid w:val="007E53B3"/>
    <w:rsid w:val="007E62C5"/>
    <w:rsid w:val="007F2323"/>
    <w:rsid w:val="007F2F94"/>
    <w:rsid w:val="007F52A5"/>
    <w:rsid w:val="00800289"/>
    <w:rsid w:val="00801969"/>
    <w:rsid w:val="008037BF"/>
    <w:rsid w:val="0080475B"/>
    <w:rsid w:val="008106F1"/>
    <w:rsid w:val="00810ADD"/>
    <w:rsid w:val="00814D52"/>
    <w:rsid w:val="008274E0"/>
    <w:rsid w:val="00827B62"/>
    <w:rsid w:val="00833D70"/>
    <w:rsid w:val="0083482B"/>
    <w:rsid w:val="00835969"/>
    <w:rsid w:val="00835D3B"/>
    <w:rsid w:val="0083624B"/>
    <w:rsid w:val="00847858"/>
    <w:rsid w:val="008505A1"/>
    <w:rsid w:val="00851DD6"/>
    <w:rsid w:val="008538FB"/>
    <w:rsid w:val="00856E9C"/>
    <w:rsid w:val="0086009D"/>
    <w:rsid w:val="00862C75"/>
    <w:rsid w:val="0086308B"/>
    <w:rsid w:val="00863200"/>
    <w:rsid w:val="00863C45"/>
    <w:rsid w:val="008641E8"/>
    <w:rsid w:val="00864563"/>
    <w:rsid w:val="00864FAA"/>
    <w:rsid w:val="008654FC"/>
    <w:rsid w:val="00867CF3"/>
    <w:rsid w:val="00870D5F"/>
    <w:rsid w:val="00871704"/>
    <w:rsid w:val="0087171F"/>
    <w:rsid w:val="008761FB"/>
    <w:rsid w:val="008824D2"/>
    <w:rsid w:val="00887D0D"/>
    <w:rsid w:val="0089066A"/>
    <w:rsid w:val="008914E0"/>
    <w:rsid w:val="008916F1"/>
    <w:rsid w:val="00892F34"/>
    <w:rsid w:val="00893A8C"/>
    <w:rsid w:val="008942F1"/>
    <w:rsid w:val="0089597A"/>
    <w:rsid w:val="00896586"/>
    <w:rsid w:val="00897B32"/>
    <w:rsid w:val="008A3408"/>
    <w:rsid w:val="008A3F9D"/>
    <w:rsid w:val="008A4B1C"/>
    <w:rsid w:val="008A711B"/>
    <w:rsid w:val="008A7DE8"/>
    <w:rsid w:val="008B0AE5"/>
    <w:rsid w:val="008B0E56"/>
    <w:rsid w:val="008B146E"/>
    <w:rsid w:val="008B4938"/>
    <w:rsid w:val="008B6C92"/>
    <w:rsid w:val="008C7BD3"/>
    <w:rsid w:val="008D0822"/>
    <w:rsid w:val="008D2E02"/>
    <w:rsid w:val="008D43E4"/>
    <w:rsid w:val="008D4DD2"/>
    <w:rsid w:val="008D517C"/>
    <w:rsid w:val="008D5EC8"/>
    <w:rsid w:val="008E0BCA"/>
    <w:rsid w:val="008E26C8"/>
    <w:rsid w:val="008E76C9"/>
    <w:rsid w:val="008E7C62"/>
    <w:rsid w:val="008F0935"/>
    <w:rsid w:val="008F41F8"/>
    <w:rsid w:val="008F4446"/>
    <w:rsid w:val="008F5487"/>
    <w:rsid w:val="008F55B6"/>
    <w:rsid w:val="008F6D7A"/>
    <w:rsid w:val="008F767B"/>
    <w:rsid w:val="00900C8D"/>
    <w:rsid w:val="009010CF"/>
    <w:rsid w:val="00901118"/>
    <w:rsid w:val="009011CE"/>
    <w:rsid w:val="00902949"/>
    <w:rsid w:val="00906855"/>
    <w:rsid w:val="00907715"/>
    <w:rsid w:val="0091050F"/>
    <w:rsid w:val="00917AC9"/>
    <w:rsid w:val="00920A47"/>
    <w:rsid w:val="009213E5"/>
    <w:rsid w:val="00921949"/>
    <w:rsid w:val="00923EBA"/>
    <w:rsid w:val="00924E7D"/>
    <w:rsid w:val="009260C3"/>
    <w:rsid w:val="009262A4"/>
    <w:rsid w:val="00930291"/>
    <w:rsid w:val="00934096"/>
    <w:rsid w:val="009405E7"/>
    <w:rsid w:val="00942BB8"/>
    <w:rsid w:val="009446B5"/>
    <w:rsid w:val="009527D2"/>
    <w:rsid w:val="00952FE8"/>
    <w:rsid w:val="00953340"/>
    <w:rsid w:val="009536CD"/>
    <w:rsid w:val="00956DA3"/>
    <w:rsid w:val="00961451"/>
    <w:rsid w:val="00961C4C"/>
    <w:rsid w:val="00962DC1"/>
    <w:rsid w:val="00963899"/>
    <w:rsid w:val="00964EB2"/>
    <w:rsid w:val="0096520A"/>
    <w:rsid w:val="00966858"/>
    <w:rsid w:val="00967C73"/>
    <w:rsid w:val="00967D7F"/>
    <w:rsid w:val="00967F32"/>
    <w:rsid w:val="00974B45"/>
    <w:rsid w:val="00980DF4"/>
    <w:rsid w:val="00981630"/>
    <w:rsid w:val="0098245E"/>
    <w:rsid w:val="00982461"/>
    <w:rsid w:val="00982E3B"/>
    <w:rsid w:val="009837C8"/>
    <w:rsid w:val="00985ED5"/>
    <w:rsid w:val="009874A3"/>
    <w:rsid w:val="00991CB6"/>
    <w:rsid w:val="00991F5B"/>
    <w:rsid w:val="00992F76"/>
    <w:rsid w:val="00996545"/>
    <w:rsid w:val="00996AD7"/>
    <w:rsid w:val="009A0A93"/>
    <w:rsid w:val="009A2161"/>
    <w:rsid w:val="009A3B30"/>
    <w:rsid w:val="009A5C02"/>
    <w:rsid w:val="009B181E"/>
    <w:rsid w:val="009B1B58"/>
    <w:rsid w:val="009B2450"/>
    <w:rsid w:val="009B3165"/>
    <w:rsid w:val="009B6300"/>
    <w:rsid w:val="009C00D1"/>
    <w:rsid w:val="009C6934"/>
    <w:rsid w:val="009D1FDE"/>
    <w:rsid w:val="009D3210"/>
    <w:rsid w:val="009D4D12"/>
    <w:rsid w:val="009D710E"/>
    <w:rsid w:val="009E0644"/>
    <w:rsid w:val="009E2BA6"/>
    <w:rsid w:val="009E7D2D"/>
    <w:rsid w:val="009E7EED"/>
    <w:rsid w:val="009E7F5D"/>
    <w:rsid w:val="009F216D"/>
    <w:rsid w:val="009F23DB"/>
    <w:rsid w:val="009F64CE"/>
    <w:rsid w:val="009F77E9"/>
    <w:rsid w:val="00A001CF"/>
    <w:rsid w:val="00A0116D"/>
    <w:rsid w:val="00A01989"/>
    <w:rsid w:val="00A01CD1"/>
    <w:rsid w:val="00A02AAC"/>
    <w:rsid w:val="00A06D53"/>
    <w:rsid w:val="00A07CBD"/>
    <w:rsid w:val="00A10435"/>
    <w:rsid w:val="00A10896"/>
    <w:rsid w:val="00A10F0D"/>
    <w:rsid w:val="00A13874"/>
    <w:rsid w:val="00A14072"/>
    <w:rsid w:val="00A20786"/>
    <w:rsid w:val="00A257F5"/>
    <w:rsid w:val="00A25808"/>
    <w:rsid w:val="00A26F5C"/>
    <w:rsid w:val="00A2719D"/>
    <w:rsid w:val="00A439B8"/>
    <w:rsid w:val="00A457E9"/>
    <w:rsid w:val="00A4599E"/>
    <w:rsid w:val="00A470B9"/>
    <w:rsid w:val="00A516C1"/>
    <w:rsid w:val="00A52C0E"/>
    <w:rsid w:val="00A53876"/>
    <w:rsid w:val="00A572DD"/>
    <w:rsid w:val="00A61C8E"/>
    <w:rsid w:val="00A65275"/>
    <w:rsid w:val="00A65A76"/>
    <w:rsid w:val="00A67050"/>
    <w:rsid w:val="00A75211"/>
    <w:rsid w:val="00A75EF3"/>
    <w:rsid w:val="00A763AD"/>
    <w:rsid w:val="00A82C56"/>
    <w:rsid w:val="00A82FAF"/>
    <w:rsid w:val="00A83796"/>
    <w:rsid w:val="00A87A51"/>
    <w:rsid w:val="00A9034F"/>
    <w:rsid w:val="00A90F34"/>
    <w:rsid w:val="00A95B05"/>
    <w:rsid w:val="00A9627D"/>
    <w:rsid w:val="00A96A44"/>
    <w:rsid w:val="00AA430C"/>
    <w:rsid w:val="00AA6B2C"/>
    <w:rsid w:val="00AA76B7"/>
    <w:rsid w:val="00AB1009"/>
    <w:rsid w:val="00AB6AEB"/>
    <w:rsid w:val="00AC1293"/>
    <w:rsid w:val="00AC24BF"/>
    <w:rsid w:val="00AC2ADB"/>
    <w:rsid w:val="00AC3B46"/>
    <w:rsid w:val="00AC4AE6"/>
    <w:rsid w:val="00AC6188"/>
    <w:rsid w:val="00AC6FA8"/>
    <w:rsid w:val="00AD0EAB"/>
    <w:rsid w:val="00AD13C1"/>
    <w:rsid w:val="00AD6E8D"/>
    <w:rsid w:val="00AD7F65"/>
    <w:rsid w:val="00AE0B32"/>
    <w:rsid w:val="00AE12A2"/>
    <w:rsid w:val="00AE2109"/>
    <w:rsid w:val="00AE258C"/>
    <w:rsid w:val="00AE500D"/>
    <w:rsid w:val="00AE5340"/>
    <w:rsid w:val="00AE7326"/>
    <w:rsid w:val="00AF0A9C"/>
    <w:rsid w:val="00AF28BB"/>
    <w:rsid w:val="00B03F0D"/>
    <w:rsid w:val="00B04BEC"/>
    <w:rsid w:val="00B04DD4"/>
    <w:rsid w:val="00B07848"/>
    <w:rsid w:val="00B123D8"/>
    <w:rsid w:val="00B211EB"/>
    <w:rsid w:val="00B23C5F"/>
    <w:rsid w:val="00B31389"/>
    <w:rsid w:val="00B32EC7"/>
    <w:rsid w:val="00B33047"/>
    <w:rsid w:val="00B33BAB"/>
    <w:rsid w:val="00B33D21"/>
    <w:rsid w:val="00B35D6A"/>
    <w:rsid w:val="00B35F5D"/>
    <w:rsid w:val="00B36A26"/>
    <w:rsid w:val="00B429C5"/>
    <w:rsid w:val="00B451AB"/>
    <w:rsid w:val="00B45E98"/>
    <w:rsid w:val="00B515B9"/>
    <w:rsid w:val="00B51AFF"/>
    <w:rsid w:val="00B51F60"/>
    <w:rsid w:val="00B52CAB"/>
    <w:rsid w:val="00B54EA6"/>
    <w:rsid w:val="00B57C36"/>
    <w:rsid w:val="00B6210F"/>
    <w:rsid w:val="00B626AC"/>
    <w:rsid w:val="00B62EB4"/>
    <w:rsid w:val="00B631C2"/>
    <w:rsid w:val="00B65593"/>
    <w:rsid w:val="00B667D8"/>
    <w:rsid w:val="00B67A25"/>
    <w:rsid w:val="00B702AB"/>
    <w:rsid w:val="00B7132C"/>
    <w:rsid w:val="00B71BCA"/>
    <w:rsid w:val="00B71DEF"/>
    <w:rsid w:val="00B726D8"/>
    <w:rsid w:val="00B72A06"/>
    <w:rsid w:val="00B74D3B"/>
    <w:rsid w:val="00B74EA0"/>
    <w:rsid w:val="00B80643"/>
    <w:rsid w:val="00B8152C"/>
    <w:rsid w:val="00B81A44"/>
    <w:rsid w:val="00B81B44"/>
    <w:rsid w:val="00B85349"/>
    <w:rsid w:val="00B85830"/>
    <w:rsid w:val="00B85F1C"/>
    <w:rsid w:val="00B90D46"/>
    <w:rsid w:val="00B96A69"/>
    <w:rsid w:val="00B97592"/>
    <w:rsid w:val="00BA4D99"/>
    <w:rsid w:val="00BB003F"/>
    <w:rsid w:val="00BB020D"/>
    <w:rsid w:val="00BB1014"/>
    <w:rsid w:val="00BB2711"/>
    <w:rsid w:val="00BB5061"/>
    <w:rsid w:val="00BB53BC"/>
    <w:rsid w:val="00BB5DE5"/>
    <w:rsid w:val="00BB6273"/>
    <w:rsid w:val="00BC0858"/>
    <w:rsid w:val="00BC0A2B"/>
    <w:rsid w:val="00BC0B20"/>
    <w:rsid w:val="00BC586E"/>
    <w:rsid w:val="00BC7860"/>
    <w:rsid w:val="00BD7204"/>
    <w:rsid w:val="00BD7919"/>
    <w:rsid w:val="00BE1987"/>
    <w:rsid w:val="00BE1E24"/>
    <w:rsid w:val="00BE4C99"/>
    <w:rsid w:val="00BF0636"/>
    <w:rsid w:val="00BF0FC6"/>
    <w:rsid w:val="00BF5985"/>
    <w:rsid w:val="00BF5A9C"/>
    <w:rsid w:val="00C00E1E"/>
    <w:rsid w:val="00C01715"/>
    <w:rsid w:val="00C0352B"/>
    <w:rsid w:val="00C041F4"/>
    <w:rsid w:val="00C045B4"/>
    <w:rsid w:val="00C0775C"/>
    <w:rsid w:val="00C102B9"/>
    <w:rsid w:val="00C12805"/>
    <w:rsid w:val="00C14BE9"/>
    <w:rsid w:val="00C16981"/>
    <w:rsid w:val="00C1771F"/>
    <w:rsid w:val="00C210AB"/>
    <w:rsid w:val="00C2115D"/>
    <w:rsid w:val="00C2133E"/>
    <w:rsid w:val="00C24206"/>
    <w:rsid w:val="00C26A85"/>
    <w:rsid w:val="00C32131"/>
    <w:rsid w:val="00C32613"/>
    <w:rsid w:val="00C36619"/>
    <w:rsid w:val="00C37DFE"/>
    <w:rsid w:val="00C40F46"/>
    <w:rsid w:val="00C4352C"/>
    <w:rsid w:val="00C45397"/>
    <w:rsid w:val="00C67396"/>
    <w:rsid w:val="00C67AD2"/>
    <w:rsid w:val="00C701DC"/>
    <w:rsid w:val="00C73D5F"/>
    <w:rsid w:val="00C76725"/>
    <w:rsid w:val="00C80318"/>
    <w:rsid w:val="00C810B0"/>
    <w:rsid w:val="00C816B0"/>
    <w:rsid w:val="00C81BE4"/>
    <w:rsid w:val="00C83813"/>
    <w:rsid w:val="00C855E1"/>
    <w:rsid w:val="00C86D39"/>
    <w:rsid w:val="00C8755B"/>
    <w:rsid w:val="00C878C1"/>
    <w:rsid w:val="00C94584"/>
    <w:rsid w:val="00C95402"/>
    <w:rsid w:val="00C96124"/>
    <w:rsid w:val="00C96B20"/>
    <w:rsid w:val="00C9709C"/>
    <w:rsid w:val="00CA0EDC"/>
    <w:rsid w:val="00CA329C"/>
    <w:rsid w:val="00CA5CE3"/>
    <w:rsid w:val="00CB1AA2"/>
    <w:rsid w:val="00CB2B01"/>
    <w:rsid w:val="00CB74BA"/>
    <w:rsid w:val="00CC6971"/>
    <w:rsid w:val="00CD040D"/>
    <w:rsid w:val="00CD064E"/>
    <w:rsid w:val="00CD292B"/>
    <w:rsid w:val="00CD4791"/>
    <w:rsid w:val="00CE43A6"/>
    <w:rsid w:val="00CE4A06"/>
    <w:rsid w:val="00CE4BF0"/>
    <w:rsid w:val="00CE589B"/>
    <w:rsid w:val="00CF2305"/>
    <w:rsid w:val="00CF2912"/>
    <w:rsid w:val="00CF2C20"/>
    <w:rsid w:val="00CF3A8C"/>
    <w:rsid w:val="00CF6132"/>
    <w:rsid w:val="00CF7741"/>
    <w:rsid w:val="00D0051A"/>
    <w:rsid w:val="00D0104A"/>
    <w:rsid w:val="00D02775"/>
    <w:rsid w:val="00D04154"/>
    <w:rsid w:val="00D05FEC"/>
    <w:rsid w:val="00D1141E"/>
    <w:rsid w:val="00D156C7"/>
    <w:rsid w:val="00D1738F"/>
    <w:rsid w:val="00D20833"/>
    <w:rsid w:val="00D23294"/>
    <w:rsid w:val="00D25DE6"/>
    <w:rsid w:val="00D260D8"/>
    <w:rsid w:val="00D31D23"/>
    <w:rsid w:val="00D36BF6"/>
    <w:rsid w:val="00D405C9"/>
    <w:rsid w:val="00D406D7"/>
    <w:rsid w:val="00D42279"/>
    <w:rsid w:val="00D447BD"/>
    <w:rsid w:val="00D469A6"/>
    <w:rsid w:val="00D5076D"/>
    <w:rsid w:val="00D51AD1"/>
    <w:rsid w:val="00D5739F"/>
    <w:rsid w:val="00D64C9C"/>
    <w:rsid w:val="00D66857"/>
    <w:rsid w:val="00D702B2"/>
    <w:rsid w:val="00D70829"/>
    <w:rsid w:val="00D74436"/>
    <w:rsid w:val="00D763C2"/>
    <w:rsid w:val="00D77217"/>
    <w:rsid w:val="00D77E76"/>
    <w:rsid w:val="00D80239"/>
    <w:rsid w:val="00D80745"/>
    <w:rsid w:val="00D81A6A"/>
    <w:rsid w:val="00D86817"/>
    <w:rsid w:val="00D90CA2"/>
    <w:rsid w:val="00D91762"/>
    <w:rsid w:val="00D944D5"/>
    <w:rsid w:val="00D952C2"/>
    <w:rsid w:val="00D966B3"/>
    <w:rsid w:val="00D96758"/>
    <w:rsid w:val="00D968BC"/>
    <w:rsid w:val="00D972D0"/>
    <w:rsid w:val="00DA1089"/>
    <w:rsid w:val="00DA11BF"/>
    <w:rsid w:val="00DB0168"/>
    <w:rsid w:val="00DB0D97"/>
    <w:rsid w:val="00DB45F9"/>
    <w:rsid w:val="00DB4D17"/>
    <w:rsid w:val="00DB6200"/>
    <w:rsid w:val="00DB6C13"/>
    <w:rsid w:val="00DC1101"/>
    <w:rsid w:val="00DC1DF6"/>
    <w:rsid w:val="00DC3C01"/>
    <w:rsid w:val="00DC4927"/>
    <w:rsid w:val="00DC6B3B"/>
    <w:rsid w:val="00DD43BB"/>
    <w:rsid w:val="00DD5461"/>
    <w:rsid w:val="00DD6F33"/>
    <w:rsid w:val="00DD7649"/>
    <w:rsid w:val="00DE35FC"/>
    <w:rsid w:val="00DE3859"/>
    <w:rsid w:val="00DE589E"/>
    <w:rsid w:val="00DF020E"/>
    <w:rsid w:val="00DF247A"/>
    <w:rsid w:val="00DF613B"/>
    <w:rsid w:val="00DF633A"/>
    <w:rsid w:val="00DF6FE8"/>
    <w:rsid w:val="00E0063D"/>
    <w:rsid w:val="00E016CB"/>
    <w:rsid w:val="00E01A84"/>
    <w:rsid w:val="00E01B5B"/>
    <w:rsid w:val="00E03951"/>
    <w:rsid w:val="00E04F7D"/>
    <w:rsid w:val="00E05C1F"/>
    <w:rsid w:val="00E05F3B"/>
    <w:rsid w:val="00E109D1"/>
    <w:rsid w:val="00E11340"/>
    <w:rsid w:val="00E11903"/>
    <w:rsid w:val="00E129DD"/>
    <w:rsid w:val="00E131C7"/>
    <w:rsid w:val="00E16389"/>
    <w:rsid w:val="00E221BD"/>
    <w:rsid w:val="00E24013"/>
    <w:rsid w:val="00E25586"/>
    <w:rsid w:val="00E25C66"/>
    <w:rsid w:val="00E264C7"/>
    <w:rsid w:val="00E26813"/>
    <w:rsid w:val="00E327DE"/>
    <w:rsid w:val="00E3424B"/>
    <w:rsid w:val="00E4025E"/>
    <w:rsid w:val="00E42BF4"/>
    <w:rsid w:val="00E42F8E"/>
    <w:rsid w:val="00E511A1"/>
    <w:rsid w:val="00E530BC"/>
    <w:rsid w:val="00E553EB"/>
    <w:rsid w:val="00E556D8"/>
    <w:rsid w:val="00E572E5"/>
    <w:rsid w:val="00E6184F"/>
    <w:rsid w:val="00E61F58"/>
    <w:rsid w:val="00E67533"/>
    <w:rsid w:val="00E7024E"/>
    <w:rsid w:val="00E7434F"/>
    <w:rsid w:val="00E768FB"/>
    <w:rsid w:val="00E777C8"/>
    <w:rsid w:val="00E8009F"/>
    <w:rsid w:val="00E83A7E"/>
    <w:rsid w:val="00E85597"/>
    <w:rsid w:val="00E90E75"/>
    <w:rsid w:val="00E91356"/>
    <w:rsid w:val="00E9149C"/>
    <w:rsid w:val="00E95759"/>
    <w:rsid w:val="00E95CAF"/>
    <w:rsid w:val="00E96799"/>
    <w:rsid w:val="00E968BA"/>
    <w:rsid w:val="00EA1AE8"/>
    <w:rsid w:val="00EA591E"/>
    <w:rsid w:val="00EA701C"/>
    <w:rsid w:val="00EA70AD"/>
    <w:rsid w:val="00EA71C5"/>
    <w:rsid w:val="00EB0D65"/>
    <w:rsid w:val="00EB2E12"/>
    <w:rsid w:val="00EB5F92"/>
    <w:rsid w:val="00EB6781"/>
    <w:rsid w:val="00EB7643"/>
    <w:rsid w:val="00EC19C8"/>
    <w:rsid w:val="00EC4F85"/>
    <w:rsid w:val="00EC5C3B"/>
    <w:rsid w:val="00EC6E47"/>
    <w:rsid w:val="00ED0664"/>
    <w:rsid w:val="00ED2895"/>
    <w:rsid w:val="00ED2EA4"/>
    <w:rsid w:val="00ED3DCD"/>
    <w:rsid w:val="00ED7B68"/>
    <w:rsid w:val="00EE1D71"/>
    <w:rsid w:val="00EE2F27"/>
    <w:rsid w:val="00EE3DB4"/>
    <w:rsid w:val="00EE6E78"/>
    <w:rsid w:val="00EF016B"/>
    <w:rsid w:val="00EF0DFE"/>
    <w:rsid w:val="00EF1C16"/>
    <w:rsid w:val="00EF2E8B"/>
    <w:rsid w:val="00EF353B"/>
    <w:rsid w:val="00EF41B5"/>
    <w:rsid w:val="00EF610A"/>
    <w:rsid w:val="00F006BE"/>
    <w:rsid w:val="00F02DBE"/>
    <w:rsid w:val="00F05801"/>
    <w:rsid w:val="00F0689B"/>
    <w:rsid w:val="00F1329B"/>
    <w:rsid w:val="00F16A45"/>
    <w:rsid w:val="00F20FA5"/>
    <w:rsid w:val="00F26733"/>
    <w:rsid w:val="00F271AE"/>
    <w:rsid w:val="00F31F96"/>
    <w:rsid w:val="00F36477"/>
    <w:rsid w:val="00F3717E"/>
    <w:rsid w:val="00F41324"/>
    <w:rsid w:val="00F43993"/>
    <w:rsid w:val="00F44759"/>
    <w:rsid w:val="00F4613F"/>
    <w:rsid w:val="00F4638C"/>
    <w:rsid w:val="00F47232"/>
    <w:rsid w:val="00F5064F"/>
    <w:rsid w:val="00F5385D"/>
    <w:rsid w:val="00F54EA3"/>
    <w:rsid w:val="00F54FF1"/>
    <w:rsid w:val="00F551C8"/>
    <w:rsid w:val="00F55684"/>
    <w:rsid w:val="00F55EF4"/>
    <w:rsid w:val="00F566C7"/>
    <w:rsid w:val="00F57917"/>
    <w:rsid w:val="00F60895"/>
    <w:rsid w:val="00F63133"/>
    <w:rsid w:val="00F652CA"/>
    <w:rsid w:val="00F653A4"/>
    <w:rsid w:val="00F70CBD"/>
    <w:rsid w:val="00F737E8"/>
    <w:rsid w:val="00F73EB2"/>
    <w:rsid w:val="00F740CA"/>
    <w:rsid w:val="00F741E9"/>
    <w:rsid w:val="00F810EB"/>
    <w:rsid w:val="00F83118"/>
    <w:rsid w:val="00F84512"/>
    <w:rsid w:val="00F857EE"/>
    <w:rsid w:val="00F85BEB"/>
    <w:rsid w:val="00F870D2"/>
    <w:rsid w:val="00F87C44"/>
    <w:rsid w:val="00F96106"/>
    <w:rsid w:val="00FA2395"/>
    <w:rsid w:val="00FA486A"/>
    <w:rsid w:val="00FA4D4E"/>
    <w:rsid w:val="00FA5E84"/>
    <w:rsid w:val="00FA6452"/>
    <w:rsid w:val="00FB5374"/>
    <w:rsid w:val="00FB54C8"/>
    <w:rsid w:val="00FB5722"/>
    <w:rsid w:val="00FB5DD0"/>
    <w:rsid w:val="00FC17BF"/>
    <w:rsid w:val="00FC302B"/>
    <w:rsid w:val="00FC4F95"/>
    <w:rsid w:val="00FC62DF"/>
    <w:rsid w:val="00FD0805"/>
    <w:rsid w:val="00FD29DE"/>
    <w:rsid w:val="00FD3413"/>
    <w:rsid w:val="00FD3E86"/>
    <w:rsid w:val="00FD552E"/>
    <w:rsid w:val="00FD589B"/>
    <w:rsid w:val="00FD7A77"/>
    <w:rsid w:val="00FE1CD8"/>
    <w:rsid w:val="00FE6F6E"/>
    <w:rsid w:val="00FE7EE7"/>
    <w:rsid w:val="00FF0A1E"/>
    <w:rsid w:val="00FF30C3"/>
    <w:rsid w:val="00FF35C2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encent" w:url="http://rtx.tencent.com" w:name="RTX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63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633A"/>
    <w:rPr>
      <w:rFonts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DF633A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656F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911"/>
    <w:rPr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E221B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156C7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D156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1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1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2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0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AppData\Roaming\Microsoft\Templates\SSE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182</TotalTime>
  <Pages>3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南京康尼机电股份有限公司</dc:title>
  <dc:creator>think</dc:creator>
  <cp:lastModifiedBy>刘健</cp:lastModifiedBy>
  <cp:revision>12</cp:revision>
  <dcterms:created xsi:type="dcterms:W3CDTF">2018-01-12T06:12:00Z</dcterms:created>
  <dcterms:modified xsi:type="dcterms:W3CDTF">2018-01-12T09:24:00Z</dcterms:modified>
</cp:coreProperties>
</file>