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8A" w:rsidRPr="00B92979" w:rsidRDefault="0000231E" w:rsidP="00B9297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B92979">
        <w:rPr>
          <w:rFonts w:asciiTheme="minorEastAsia" w:hAnsiTheme="minorEastAsia" w:hint="eastAsia"/>
          <w:b/>
          <w:sz w:val="30"/>
          <w:szCs w:val="30"/>
        </w:rPr>
        <w:t>苏州科达科技股份有限公司</w:t>
      </w:r>
    </w:p>
    <w:p w:rsidR="0000231E" w:rsidRPr="00B92979" w:rsidRDefault="0000231E" w:rsidP="00B9297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B92979">
        <w:rPr>
          <w:rFonts w:asciiTheme="minorEastAsia" w:hAnsiTheme="minorEastAsia" w:hint="eastAsia"/>
          <w:b/>
          <w:sz w:val="30"/>
          <w:szCs w:val="30"/>
        </w:rPr>
        <w:t>2018年5月投资者互动记录</w:t>
      </w:r>
    </w:p>
    <w:p w:rsidR="0000231E" w:rsidRPr="0089624B" w:rsidRDefault="0000231E" w:rsidP="00B9297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00231E" w:rsidRPr="00B92979" w:rsidRDefault="0000231E" w:rsidP="00B92979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92979">
        <w:rPr>
          <w:rFonts w:asciiTheme="minorEastAsia" w:hAnsiTheme="minorEastAsia" w:hint="eastAsia"/>
          <w:b/>
          <w:sz w:val="24"/>
          <w:szCs w:val="24"/>
        </w:rPr>
        <w:t>一、主要活动形式</w:t>
      </w:r>
    </w:p>
    <w:p w:rsidR="0060630E" w:rsidRDefault="0000231E" w:rsidP="00B9297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B92979">
        <w:rPr>
          <w:rFonts w:asciiTheme="minorEastAsia" w:hAnsiTheme="minorEastAsia" w:cs="宋体" w:hint="eastAsia"/>
          <w:sz w:val="24"/>
          <w:szCs w:val="24"/>
        </w:rPr>
        <w:t>√现场参观         √特定对象调研</w:t>
      </w:r>
      <w:r w:rsidR="0060630E">
        <w:rPr>
          <w:rFonts w:asciiTheme="minorEastAsia" w:hAnsiTheme="minorEastAsia" w:cs="宋体" w:hint="eastAsia"/>
          <w:sz w:val="24"/>
          <w:szCs w:val="24"/>
        </w:rPr>
        <w:t>（详见附表）</w:t>
      </w:r>
      <w:r w:rsidRPr="00B92979">
        <w:rPr>
          <w:rFonts w:asciiTheme="minorEastAsia" w:hAnsiTheme="minorEastAsia" w:cs="宋体"/>
          <w:sz w:val="24"/>
          <w:szCs w:val="24"/>
        </w:rPr>
        <w:t xml:space="preserve">  </w:t>
      </w:r>
      <w:r w:rsidR="005915DA" w:rsidRPr="00B9297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92979" w:rsidRDefault="0000231E" w:rsidP="00B9297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B92979">
        <w:rPr>
          <w:rFonts w:asciiTheme="minorEastAsia" w:hAnsiTheme="minorEastAsia" w:cs="宋体" w:hint="eastAsia"/>
          <w:sz w:val="24"/>
          <w:szCs w:val="24"/>
        </w:rPr>
        <w:t xml:space="preserve">√机构策略会    </w:t>
      </w:r>
      <w:r w:rsidR="0060630E">
        <w:rPr>
          <w:rFonts w:asciiTheme="minorEastAsia" w:hAnsiTheme="minorEastAsia" w:cs="宋体" w:hint="eastAsia"/>
          <w:sz w:val="24"/>
          <w:szCs w:val="24"/>
        </w:rPr>
        <w:t xml:space="preserve">   </w:t>
      </w:r>
      <w:r w:rsidRPr="00B92979">
        <w:rPr>
          <w:rFonts w:asciiTheme="minorEastAsia" w:hAnsiTheme="minorEastAsia" w:cs="宋体" w:hint="eastAsia"/>
          <w:sz w:val="24"/>
          <w:szCs w:val="24"/>
        </w:rPr>
        <w:t>√路演活动</w:t>
      </w:r>
    </w:p>
    <w:p w:rsidR="0000231E" w:rsidRPr="00B92979" w:rsidRDefault="0000231E" w:rsidP="00B9297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B92979">
        <w:rPr>
          <w:rFonts w:asciiTheme="minorEastAsia" w:hAnsiTheme="minorEastAsia" w:cs="宋体" w:hint="eastAsia"/>
          <w:sz w:val="24"/>
          <w:szCs w:val="24"/>
        </w:rPr>
        <w:t>√电子邮件沟通</w:t>
      </w:r>
      <w:r w:rsidR="005915DA" w:rsidRPr="00B92979">
        <w:rPr>
          <w:rFonts w:asciiTheme="minorEastAsia" w:hAnsiTheme="minorEastAsia" w:cs="宋体" w:hint="eastAsia"/>
          <w:sz w:val="24"/>
          <w:szCs w:val="24"/>
        </w:rPr>
        <w:t xml:space="preserve">     </w:t>
      </w:r>
      <w:r w:rsidR="007359E6" w:rsidRPr="00B92979">
        <w:rPr>
          <w:rFonts w:asciiTheme="minorEastAsia" w:hAnsiTheme="minorEastAsia" w:cs="宋体" w:hint="eastAsia"/>
          <w:sz w:val="24"/>
          <w:szCs w:val="24"/>
        </w:rPr>
        <w:t>√电话沟通</w:t>
      </w:r>
      <w:r w:rsidR="005915DA" w:rsidRPr="00B92979">
        <w:rPr>
          <w:rFonts w:asciiTheme="minorEastAsia" w:hAnsiTheme="minorEastAsia" w:cs="宋体" w:hint="eastAsia"/>
          <w:sz w:val="24"/>
          <w:szCs w:val="24"/>
        </w:rPr>
        <w:t xml:space="preserve">       </w:t>
      </w:r>
      <w:r w:rsidR="007359E6" w:rsidRPr="00B92979">
        <w:rPr>
          <w:rFonts w:asciiTheme="minorEastAsia" w:hAnsiTheme="minorEastAsia" w:cs="宋体" w:hint="eastAsia"/>
          <w:sz w:val="24"/>
          <w:szCs w:val="24"/>
        </w:rPr>
        <w:t>√投资者留言板问题答复</w:t>
      </w:r>
    </w:p>
    <w:p w:rsidR="0000231E" w:rsidRPr="00B92979" w:rsidRDefault="0000231E" w:rsidP="00B9297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00231E" w:rsidRPr="00B92979" w:rsidRDefault="0000231E" w:rsidP="00B92979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92979">
        <w:rPr>
          <w:rFonts w:asciiTheme="minorEastAsia" w:hAnsiTheme="minorEastAsia" w:hint="eastAsia"/>
          <w:b/>
          <w:sz w:val="24"/>
          <w:szCs w:val="24"/>
        </w:rPr>
        <w:t>二、投资者关心的主要问题</w:t>
      </w:r>
    </w:p>
    <w:p w:rsidR="006712CD" w:rsidRPr="00B92979" w:rsidRDefault="006712CD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问：请公司详细介绍一下关于视频</w:t>
      </w:r>
      <w:r w:rsidR="009B6D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科技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综合应用服务商的定位。</w:t>
      </w:r>
    </w:p>
    <w:p w:rsidR="006712CD" w:rsidRPr="00B92979" w:rsidRDefault="006712CD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答：我们认为视频不仅仅只是采集、传输、交换和存储，视频数据具备很大的价值，大数据的应用，是除了智能之外，对安防行业发展影响深远的一项技术。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同时，随着我们对行业客户需求理解的深入，我们觉得应从行业的视角来理解和满足用户的需求。因此从2016年开始，我们开始组建行业事业部，每个事业部分别针对公、检、法、军队、教育</w:t>
      </w:r>
      <w:r w:rsidR="009B6D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、应急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等行业，统领该行业中</w:t>
      </w:r>
      <w:r w:rsidR="009B6D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苏州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科达所有的产品和解决方案需求，在贯通自有产品和解决方案的基础上，与该行业的其它系统进行横向打通，形成一个整体的行业应用生态。因而，我们自己的发展战略就定位在视频</w:t>
      </w:r>
      <w:r w:rsidR="009B6D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科技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综合应用服务商。</w:t>
      </w:r>
    </w:p>
    <w:p w:rsidR="00131F09" w:rsidRPr="00B92979" w:rsidRDefault="00131F09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问：公司营销的发展战略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131F09" w:rsidRPr="00B92979" w:rsidRDefault="00131F09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答：一是做深行业。我们会沿着行业这条线，在智慧城市、雪亮工程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、智能交通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等系统级解决方案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及行业生态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，继续增强专门的销售力量。二是做强区域。主要是营销力量的下沉，对于业务开展较好或者前景较好的二三级城市，对区县市场增加一定的营销力量。</w:t>
      </w:r>
    </w:p>
    <w:p w:rsidR="00AB2C01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人工智能的发展，是否给行业带来了更多的发展空间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AB2C01" w:rsidRDefault="00AB2C01" w:rsidP="00B92979">
      <w:pPr>
        <w:pStyle w:val="a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人工智能的发展对视频应用是一个机会，从看的清到看得懂，随着技术的进步，人工智能已经能够实战化，并解决客户的一些实际问题。视频智能应用会给行业带来新的业务机会。现在新建的一些项目中，智能摄像机的比例在逐渐提高，还有后端的一些智能应用等</w:t>
      </w:r>
      <w:r w:rsid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也在逐渐的上线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116636" w:rsidRPr="00B92979" w:rsidRDefault="00116636" w:rsidP="00B92979">
      <w:pPr>
        <w:pStyle w:val="a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6712CD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6712CD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公司如何看待雪亮工程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对公司的影响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AB2C01" w:rsidRPr="00B92979" w:rsidRDefault="00AB2C01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答：雪亮工程由国家政法委牵头，已经有明确的政策和落地目标，将会带来前端布点下沉、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覆盖范围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扩大的业务机会以及后端联网整合、数据存储、大数据应用的多种需求。视频科技的应用场景更加广泛，会给视讯行业带来更多的机会。在后端平台方面，从十万级接入能力的平台到百万级接入能力的平台，对技术的要求是完全不同的。雪亮工程</w:t>
      </w:r>
      <w:r w:rsidR="006712CD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对联网整合的需求，结合具体场景应用的需求更高，这正好是苏州科达的强项。</w:t>
      </w:r>
    </w:p>
    <w:p w:rsidR="00AB2C01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怎么看待</w:t>
      </w:r>
      <w:r w:rsidR="00721BAD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PPP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6712CD" w:rsidRPr="00B92979" w:rsidRDefault="006712CD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对于PPP业务模式，公司主要还是持谨慎参与的态度，对于一些风险较高的PPP项目，公司可能会有选择的放弃，以稳健经营为主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。对于有把握的PPP项目，适度参与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。我们希望公司保持长期稳定的发展，不会因为短期业务冒较高的风险。</w:t>
      </w:r>
    </w:p>
    <w:p w:rsidR="00AB2C01" w:rsidRPr="00B92979" w:rsidRDefault="00AB2C01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问：军用市场有哪些差异化的需求，公司是否有所涉及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AB2C01" w:rsidRPr="00B92979" w:rsidRDefault="00AB2C01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答：主要是可靠性和安全性方面，相比公检法等行业会有更高的要求。另外一块就是资质方面的要求，公司子公司特种视讯就是专门针对军用市场的。</w:t>
      </w:r>
    </w:p>
    <w:p w:rsidR="006712CD" w:rsidRPr="00B92979" w:rsidRDefault="006712CD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问：5G发展对公司的价值，公司是否有进入更多民用市场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拓展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计划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6712CD" w:rsidRPr="00B92979" w:rsidRDefault="006712CD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答：5G普及，对整个安防行业都是一个利好，带宽的接入成本会有所下降，可能原先需要有线网络接入的地方，5G普及以后无线设备也能实现相应功能。</w:t>
      </w:r>
    </w:p>
    <w:p w:rsidR="00727F34" w:rsidRPr="00727F34" w:rsidRDefault="006712CD" w:rsidP="00727F3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我们目前所在的行业市场，对产品要求比较高，成本也比较高。如果拓展民用市场，可能会在产品层面做一些减法，形成一些标准化、模块化的产品。市场拓展方面，更多的还是需要借助合作伙伴的力量。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问：公司AI的进展情况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Default="00727F34" w:rsidP="00727F3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我们强调人工智能端到端的解决方案，包括前端的猎鹰卡口摄像机、后端的海燕二次车辆分析系统、猎鹰视频侦查系统、合成指挥作战平台等，以及最终实现的可视化应用软件平台及技战法，为客户提供完整的</w:t>
      </w:r>
      <w:r w:rsidR="00721BA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AI实战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方案。</w:t>
      </w:r>
    </w:p>
    <w:p w:rsidR="00727F34" w:rsidRPr="00B92979" w:rsidRDefault="00727F34" w:rsidP="00727F3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目前已经发布了多款成熟商用的AI产品：包括了前端的人员卡口、车辆卡口、电警卡口、智能移动设备以及后端的深度学习服务器、智能应用平台、智能应用软件等。目前有几款产品取得了很好的市场反馈，例如：后端的合成作战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指挥平台，在厦门金砖会议、十九大都有落地。还有海燕二次车辆分析系统也在多个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市、县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实现落地；前端的移动执法记录仪、特征卡口摄像机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等前端智能设备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出货量增长。</w:t>
      </w:r>
    </w:p>
    <w:p w:rsidR="006712CD" w:rsidRPr="00B92979" w:rsidRDefault="006712CD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AB2C0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解决方案的增长速度相比去年的情况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6712CD" w:rsidRPr="00B92979" w:rsidRDefault="006712CD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答：解决方案的占比相比去年有所提升，围绕各行业我们也在继续增强相应的营销力量。</w:t>
      </w:r>
    </w:p>
    <w:p w:rsidR="006712CD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6712CD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公司的主要客户及供应商情况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6712CD" w:rsidRPr="00B92979" w:rsidRDefault="006712CD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政府客户，尤其是政法类客户是我们最大的一个客户市场。供应商我们并不锁定哪一家，主要还是看性价比，对于不同的产品和解决方案，我们会选择最合适的供应商、原材料及解决方案，并不局限于某一特定的品牌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问：公司区县的布局情况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Pr="00B92979" w:rsidRDefault="00727F34" w:rsidP="00727F3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答：公司从前几年就开始布局区县市场，对于业务发展较好的城市，我们已经设立了不少二级办事处。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问：公司的海外业务业务进展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情况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Pr="00B92979" w:rsidRDefault="00727F34" w:rsidP="00727F3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hint="eastAsia"/>
          <w:sz w:val="24"/>
          <w:szCs w:val="24"/>
        </w:rPr>
        <w:t>公司海外业务正常，主要市场是东南亚、北欧、北美等。我们的移动类产品和智能交通类产品，在产品的可靠性，综合性能等方面有优势，需要通过继续加强销售、完善渠道来保证海外业务增长。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问：公司的底层算法和哪家公司合作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727F34" w:rsidRDefault="00727F34" w:rsidP="00727F3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hint="eastAsia"/>
          <w:sz w:val="24"/>
          <w:szCs w:val="24"/>
        </w:rPr>
        <w:t>答：算法是人工智能一个非常重要得多组成部分，公司有自己的算法团队，为客户提供的是集合算法、软件、硬件一体的解决方案。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问：公司显控产品有何优势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Pr="00B92979" w:rsidRDefault="00727F34" w:rsidP="00727F3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答：我们的产品集成度要更高一些，集成了8个品类的产品。而且实现了高度的模块化，在兼容性方面我们可以兼容友商的产品。通过提高产品的可靠性和可维护性，大大降低了集成商的施工难度。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问：公司发布国密视频会议的情况和意义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Pr="00B92979" w:rsidRDefault="00727F34" w:rsidP="00727F3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答：视频会议属于通信行业，近几年很多厂家都在不断的推出云化的产品。但是安全和云是一体两面的关系，安全会成为每个云类产品必须要解决的问题。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特别是我们所面向的客户，对安全有着非常高的要求。在我们推出国密视频会议系统后，</w:t>
      </w:r>
      <w:r w:rsidR="00285D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视频会议系统的自主可控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程度提高，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将有助于推动客户对视频会议的应用需求。</w:t>
      </w:r>
    </w:p>
    <w:p w:rsidR="00727F34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公司的研发费用率较高，什么原因造成，有什么优化方案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Pr="00B92979" w:rsidRDefault="00727F34" w:rsidP="00727F3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hint="eastAsia"/>
          <w:sz w:val="24"/>
          <w:szCs w:val="24"/>
        </w:rPr>
        <w:t>答：为适应视讯行业向“整体解决方案”销售模式发展的行业趋势，保证公司在竞争中继续保持并发挥研发优势和技术优势，公司在研发实力和技术储备方面投入较多，在经营上有着“研究开发和营销服务两头大、生产管理中间小”的“哑铃型”特点，注重整体解决方案的设计、核心模块/软件系统的研发以及客户持续开发、服务与维护，进而占领了产业链中的高附加值领域。相应体现在财务报表上，公司则呈现出高毛利率和高费用率的情形。随着公司视讯产品和解决方案的市场规模持续扩大、品牌影响力进一步提升，公司将着力发展渠道，拓展销售网络，提升产品和解决方案的市场覆盖，扩大人均销售，进而提高整体盈利水平。</w:t>
      </w:r>
    </w:p>
    <w:p w:rsidR="00727F34" w:rsidRPr="00B92979" w:rsidRDefault="00727F34" w:rsidP="00727F3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hint="eastAsia"/>
          <w:sz w:val="24"/>
          <w:szCs w:val="24"/>
        </w:rPr>
        <w:t>销售费用的增长一方面因为我们在销售上确实有一部分的扩张，包括人员和对外费用方面也有一定的扩张。另外是研发方面我们会保持持续的投入，所以上半年整个费用还是增幅比较大的。从未来业务来考量，从构成上我们还是会走专业化的路径，所以我们在研发投入和销售费用投入方面是一个持续投入的过程。</w:t>
      </w:r>
    </w:p>
    <w:p w:rsidR="005915DA" w:rsidRPr="00B92979" w:rsidRDefault="005915DA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问：公司安防行业规模没有做大的原因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914DF9" w:rsidRPr="00B92979" w:rsidRDefault="005915DA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答：在监控行业，公司虽然布局较早，但是走了一些弯路。在一开始，我们</w:t>
      </w:r>
      <w:r w:rsidR="009E5352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从后端平台开始，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直接推出了数字视频编码设备，</w:t>
      </w:r>
      <w:r w:rsidR="009E5352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并且采用的是和运营商合作的模式，并没有直接建立自己的销售渠道和品牌，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错过了模拟监控大规模发展的机遇。直到2009年，我们才首次以</w:t>
      </w:r>
      <w:r w:rsidR="009E5352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苏州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科达自有品牌的身份参加安博会。相比</w:t>
      </w:r>
      <w:r w:rsidR="00914DF9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于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友商，</w:t>
      </w:r>
      <w:r w:rsidR="00914DF9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苏州科达在企业、家庭为主要客户的通用设备市场，</w:t>
      </w:r>
      <w:r w:rsidR="009E5352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因</w:t>
      </w:r>
      <w:r w:rsidR="00914DF9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营销渠道建设</w:t>
      </w:r>
      <w:r w:rsidR="009E5352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起步较晚、</w:t>
      </w:r>
      <w:r w:rsidR="00914DF9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渠道覆盖范围</w:t>
      </w:r>
      <w:r w:rsidR="009E5352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</w:t>
      </w:r>
      <w:r w:rsidR="00914DF9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方面存在一定竞争劣势，影响了公司在通用设备市场的发展速度和销售规模。</w:t>
      </w:r>
    </w:p>
    <w:p w:rsidR="00332A81" w:rsidRPr="00B92979" w:rsidRDefault="00727F34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332A8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公司如何和海康、大华竞争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727F34" w:rsidRDefault="00131F09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</w:t>
      </w:r>
      <w:r w:rsidR="00332A8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海康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332A8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大华作为业内优秀的龙头公司是我们学习的榜样。我们的规模、成本控制等，与他们相比还有差距，需要提升。</w:t>
      </w:r>
    </w:p>
    <w:p w:rsidR="00332A81" w:rsidRPr="00B92979" w:rsidRDefault="00332A81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在市场竞争中，公司具备以下优势：一是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重点行业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全产业链的优势，我们具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备全系列前端到后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端的产品，以及针对重点行业的解决方案，可以为满足客户端到端的实战应用需求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。其次，公司多年来深耕公检法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司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，对于客户需求的理解比较深，在平台及后端应用方面积累深厚，在平台和存储的稳定性、架构合理性和性能等方面走在行业领先的位置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基于云计算、大数据和智能化的重点行业应用解决方案，如合成指挥作战系统获得较为广泛的部署。第三，公司业内唯一的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同时在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视频会议和视频监控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两方面技术实力较强的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主流厂家，可以将视频会议和安防监控更好的结合起来，在这类业务融合应用中具备较大优势。</w:t>
      </w:r>
    </w:p>
    <w:p w:rsidR="005915DA" w:rsidRPr="00B92979" w:rsidRDefault="009C27E4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市场竞争方面</w:t>
      </w:r>
      <w:r w:rsidR="00914DF9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，公司采取差异化竞争策略，通过对重点行业用户的深度发掘和对潜在用户进行横向扩张的模式，形成了科达特色的解决方案，未来我们将继续在这些重点行业耕耘，抓住行业对应用要求较高的一些领域，</w:t>
      </w:r>
      <w:r w:rsidR="00332A81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统领该行业中苏州科达所有的产品和解决方案需求，在贯通自有产品和解决方案的基础上，与该行业的其它系统进行横向打通，形成一个整体的行业应用生态。</w:t>
      </w:r>
    </w:p>
    <w:p w:rsidR="00AB2C01" w:rsidRPr="00B92979" w:rsidRDefault="00AB2C01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问：公司是否会考虑投资并购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AB2C01" w:rsidRPr="00B92979" w:rsidRDefault="00AB2C01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答：公司当前还是以内生增长为主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如果有外延式并购的机遇，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可以</w:t>
      </w:r>
      <w:r w:rsidR="00727F34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弥补公司在技术和市场上的短板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，或者提升公司综合实力，可以实现标的公司和公司协同发展，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我们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会根据具体的情况再做决策。</w:t>
      </w:r>
      <w:r w:rsidR="00727F34"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5915DA" w:rsidRPr="00B92979" w:rsidRDefault="005915DA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问：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小非减持进展情况，以及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公司如何看待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他们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减持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5915DA" w:rsidRPr="00B92979" w:rsidRDefault="005915DA" w:rsidP="00B9297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答：</w:t>
      </w:r>
      <w:r w:rsidR="009F3A2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小非解禁及减持情况，公司已按照要求发布了公告。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小非中</w:t>
      </w:r>
      <w:r w:rsidR="009F3A2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持有数量最多</w:t>
      </w:r>
      <w:r w:rsidR="00727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的三家机构，作为公司的财务投资者，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陪伴我们度过了漫长的IPO</w:t>
      </w:r>
      <w:r w:rsidR="009C27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前的等待期</w:t>
      </w: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，投资我们已经很长时间了，现在退出也是正常的。</w:t>
      </w:r>
    </w:p>
    <w:p w:rsidR="005915DA" w:rsidRPr="00B92979" w:rsidRDefault="005915DA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公司一季度营业收入增长较高，但是利润增幅没有收入增幅高的原因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5915DA" w:rsidRPr="00B92979" w:rsidRDefault="005915DA" w:rsidP="00B9297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hint="eastAsia"/>
          <w:sz w:val="24"/>
          <w:szCs w:val="24"/>
        </w:rPr>
        <w:t>答：相较于上年同期，除了原有业务增长外，我们2017年新增了小间距LED大屏产品，该产品作为指挥调度或者监控中心解决方案的配套产品，具有单价高，单体项目总金额大的特征，在一季度实现了营业收入，使得公司总体营业收入增幅较上年同期增幅较大。费用方面，因为公司实施了股权激励，股权激励的费用按月计提摊销，在一季度计提了超过1300万的费用，对公司的利润增幅影响较大。因而，呈现出营业收入、费用增长幅度大幅上升，而利润上升幅度为26%。</w:t>
      </w:r>
    </w:p>
    <w:p w:rsidR="005915DA" w:rsidRPr="00B92979" w:rsidRDefault="005915DA" w:rsidP="00951DD4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929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公司一季度毛利率低的原因</w:t>
      </w:r>
      <w:r w:rsidR="001166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?</w:t>
      </w:r>
    </w:p>
    <w:p w:rsidR="0060630E" w:rsidRDefault="005915DA" w:rsidP="0089624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92979">
        <w:rPr>
          <w:rFonts w:asciiTheme="minorEastAsia" w:hAnsiTheme="minorEastAsia" w:hint="eastAsia"/>
          <w:sz w:val="24"/>
          <w:szCs w:val="24"/>
        </w:rPr>
        <w:lastRenderedPageBreak/>
        <w:t>答：主要产品结构调整，毛利率较低的产品，如LED小间距大屏，销售收入金额占比同比提升。</w:t>
      </w:r>
      <w:bookmarkStart w:id="0" w:name="_GoBack"/>
      <w:bookmarkEnd w:id="0"/>
    </w:p>
    <w:p w:rsidR="0000231E" w:rsidRPr="00951DD4" w:rsidRDefault="0000231E" w:rsidP="00951DD4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51DD4">
        <w:rPr>
          <w:rFonts w:asciiTheme="minorEastAsia" w:hAnsiTheme="minorEastAsia" w:hint="eastAsia"/>
          <w:b/>
          <w:sz w:val="24"/>
          <w:szCs w:val="24"/>
        </w:rPr>
        <w:t>附</w:t>
      </w:r>
      <w:r w:rsidR="009F3A26" w:rsidRPr="00951DD4">
        <w:rPr>
          <w:rFonts w:asciiTheme="minorEastAsia" w:hAnsiTheme="minorEastAsia" w:hint="eastAsia"/>
          <w:b/>
          <w:sz w:val="24"/>
          <w:szCs w:val="24"/>
        </w:rPr>
        <w:t>：</w:t>
      </w:r>
      <w:r w:rsidR="0060630E" w:rsidRPr="00951DD4">
        <w:rPr>
          <w:rFonts w:asciiTheme="minorEastAsia" w:hAnsiTheme="minorEastAsia" w:hint="eastAsia"/>
          <w:b/>
          <w:sz w:val="24"/>
          <w:szCs w:val="24"/>
        </w:rPr>
        <w:t>苏州科达</w:t>
      </w:r>
      <w:r w:rsidR="00691049" w:rsidRPr="00951DD4">
        <w:rPr>
          <w:rFonts w:asciiTheme="minorEastAsia" w:hAnsiTheme="minorEastAsia" w:hint="eastAsia"/>
          <w:b/>
          <w:sz w:val="24"/>
          <w:szCs w:val="24"/>
        </w:rPr>
        <w:t>现场接待</w:t>
      </w:r>
      <w:r w:rsidR="0060630E" w:rsidRPr="00951DD4">
        <w:rPr>
          <w:rFonts w:asciiTheme="minorEastAsia" w:hAnsiTheme="minorEastAsia" w:hint="eastAsia"/>
          <w:b/>
          <w:sz w:val="24"/>
          <w:szCs w:val="24"/>
        </w:rPr>
        <w:t>记录表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000"/>
        <w:gridCol w:w="1969"/>
        <w:gridCol w:w="2552"/>
        <w:gridCol w:w="1226"/>
      </w:tblGrid>
      <w:tr w:rsidR="0060630E" w:rsidRPr="0060630E" w:rsidTr="00A05A52">
        <w:trPr>
          <w:trHeight w:val="540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来访机构简称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来访人员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公司接待人员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主题</w:t>
            </w:r>
          </w:p>
        </w:tc>
      </w:tr>
      <w:tr w:rsidR="0060630E" w:rsidRPr="0060630E" w:rsidTr="00A05A52">
        <w:trPr>
          <w:trHeight w:val="810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2018年5月18日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兴业证券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董事会秘书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龙瑞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证券事务代表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张文钧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公司市场、业务、一季度报告等。</w:t>
            </w: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民族证券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蔡滨、周颖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樊生龙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光大自营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张曦光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华夏未来资产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褚天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兴业全球基金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孟灿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金立新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杨云龙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钟候知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2018年5月25日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海通证券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陈冬根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董事、副总经理、财务总监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姚桂根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朱风涌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董事会秘书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证券事务代表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张文钧。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公司市场、业务、战略等。</w:t>
            </w:r>
          </w:p>
        </w:tc>
      </w:tr>
      <w:tr w:rsidR="0060630E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中金公司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张景松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0630E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申万证券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施鑫展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0630E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中信建投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韩鹏程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大成基金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施展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汇丰晋信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陆迪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银河基金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田萌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3815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</w:tcPr>
          <w:p w:rsidR="00FA3815" w:rsidRPr="0060630E" w:rsidRDefault="00FA3815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FA3815" w:rsidRDefault="00FA381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兴业全球</w:t>
            </w: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A3815" w:rsidRDefault="00FA381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王海涛</w:t>
            </w:r>
          </w:p>
        </w:tc>
        <w:tc>
          <w:tcPr>
            <w:tcW w:w="2552" w:type="dxa"/>
            <w:vMerge/>
            <w:vAlign w:val="center"/>
          </w:tcPr>
          <w:p w:rsidR="00FA3815" w:rsidRPr="0060630E" w:rsidRDefault="00FA3815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FA3815" w:rsidRPr="0060630E" w:rsidRDefault="00FA3815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兴业全球基金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孟灿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新华基金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杨祺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中欧基金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渤海人寿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傅盈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太平洋证券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朱悦如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国都证券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余卫康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兴业证券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牟卿</w:t>
            </w:r>
          </w:p>
        </w:tc>
        <w:tc>
          <w:tcPr>
            <w:tcW w:w="2552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60630E" w:rsidRPr="0060630E" w:rsidRDefault="0060630E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东吴证券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程颙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国元证券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宋琦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6869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</w:tcPr>
          <w:p w:rsidR="00D16869" w:rsidRPr="0060630E" w:rsidRDefault="00D16869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16869" w:rsidRPr="0060630E" w:rsidRDefault="00D16869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金格基金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6869" w:rsidRPr="0060630E" w:rsidRDefault="00D16869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罗宏伟</w:t>
            </w:r>
          </w:p>
        </w:tc>
        <w:tc>
          <w:tcPr>
            <w:tcW w:w="2552" w:type="dxa"/>
            <w:vMerge/>
            <w:vAlign w:val="center"/>
          </w:tcPr>
          <w:p w:rsidR="00D16869" w:rsidRPr="0060630E" w:rsidRDefault="00D16869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D16869" w:rsidRPr="0060630E" w:rsidRDefault="00D16869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高瓴资本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周璟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彤源投资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管华雨、庄琰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汉理资本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刘佳、周婷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承周资产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漆启焱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博笃投资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F0144" w:rsidRPr="0060630E" w:rsidRDefault="000F0144" w:rsidP="00633D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叶秉喜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显德资产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彭永锋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5A52" w:rsidRPr="0060630E" w:rsidTr="00A05A52">
        <w:trPr>
          <w:trHeight w:val="270"/>
          <w:jc w:val="center"/>
        </w:trPr>
        <w:tc>
          <w:tcPr>
            <w:tcW w:w="1291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新泉投资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3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罗宇</w:t>
            </w:r>
          </w:p>
        </w:tc>
        <w:tc>
          <w:tcPr>
            <w:tcW w:w="2552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F0144" w:rsidRPr="0060630E" w:rsidRDefault="000F0144" w:rsidP="00606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0231E" w:rsidRPr="00B92979" w:rsidRDefault="0000231E" w:rsidP="0060630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00231E" w:rsidRPr="00B92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EA3"/>
    <w:multiLevelType w:val="hybridMultilevel"/>
    <w:tmpl w:val="82C67D64"/>
    <w:lvl w:ilvl="0" w:tplc="D9AAD81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1E"/>
    <w:rsid w:val="0000231E"/>
    <w:rsid w:val="000F0144"/>
    <w:rsid w:val="00116636"/>
    <w:rsid w:val="00131F09"/>
    <w:rsid w:val="001B1686"/>
    <w:rsid w:val="00285D73"/>
    <w:rsid w:val="00332A81"/>
    <w:rsid w:val="005915DA"/>
    <w:rsid w:val="0060630E"/>
    <w:rsid w:val="006712CD"/>
    <w:rsid w:val="00691049"/>
    <w:rsid w:val="00721BAD"/>
    <w:rsid w:val="00727F34"/>
    <w:rsid w:val="007359E6"/>
    <w:rsid w:val="0089624B"/>
    <w:rsid w:val="00914DF9"/>
    <w:rsid w:val="00951DD4"/>
    <w:rsid w:val="009B6D12"/>
    <w:rsid w:val="009C27E4"/>
    <w:rsid w:val="009E5352"/>
    <w:rsid w:val="009F3A26"/>
    <w:rsid w:val="00A05A52"/>
    <w:rsid w:val="00AB2C01"/>
    <w:rsid w:val="00B92979"/>
    <w:rsid w:val="00D16869"/>
    <w:rsid w:val="00FA3815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3104-B7BE-44F8-BD0D-EE81E679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18</cp:revision>
  <dcterms:created xsi:type="dcterms:W3CDTF">2018-05-29T08:16:00Z</dcterms:created>
  <dcterms:modified xsi:type="dcterms:W3CDTF">2018-05-29T10:50:00Z</dcterms:modified>
</cp:coreProperties>
</file>