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74" w:rsidRDefault="00251B74" w:rsidP="005D1978">
      <w:pPr>
        <w:spacing w:beforeLines="50" w:afterLines="50" w:line="400" w:lineRule="exact"/>
        <w:jc w:val="center"/>
        <w:rPr>
          <w:rFonts w:ascii="宋体" w:hAnsi="宋体" w:cs="宋体"/>
          <w:b/>
          <w:bCs/>
          <w:color w:val="000000"/>
          <w:sz w:val="32"/>
          <w:szCs w:val="32"/>
        </w:rPr>
      </w:pPr>
    </w:p>
    <w:p w:rsidR="003D2C5D" w:rsidRDefault="003D2C5D" w:rsidP="005D1978">
      <w:pPr>
        <w:spacing w:beforeLines="50" w:afterLines="50" w:line="400" w:lineRule="exact"/>
        <w:jc w:val="center"/>
        <w:rPr>
          <w:rFonts w:ascii="宋体" w:hAnsi="宋体" w:cs="宋体"/>
          <w:b/>
          <w:bCs/>
          <w:color w:val="000000"/>
          <w:sz w:val="32"/>
          <w:szCs w:val="32"/>
        </w:rPr>
      </w:pPr>
      <w:r>
        <w:rPr>
          <w:rFonts w:ascii="宋体" w:hAnsi="宋体" w:cs="宋体" w:hint="eastAsia"/>
          <w:b/>
          <w:bCs/>
          <w:color w:val="000000"/>
          <w:sz w:val="32"/>
          <w:szCs w:val="32"/>
        </w:rPr>
        <w:t>浙江海越股份有限公司</w:t>
      </w:r>
    </w:p>
    <w:p w:rsidR="003D2C5D" w:rsidRDefault="003D2C5D" w:rsidP="005D1978">
      <w:pPr>
        <w:spacing w:beforeLines="50" w:afterLines="50" w:line="400" w:lineRule="exact"/>
        <w:jc w:val="center"/>
        <w:rPr>
          <w:rFonts w:ascii="宋体" w:hAnsi="宋体" w:cs="宋体"/>
          <w:b/>
          <w:bCs/>
          <w:color w:val="000000"/>
          <w:sz w:val="32"/>
          <w:szCs w:val="32"/>
        </w:rPr>
      </w:pPr>
      <w:r>
        <w:rPr>
          <w:rFonts w:ascii="宋体" w:hAnsi="宋体" w:cs="宋体" w:hint="eastAsia"/>
          <w:b/>
          <w:bCs/>
          <w:color w:val="000000"/>
          <w:sz w:val="32"/>
          <w:szCs w:val="32"/>
        </w:rPr>
        <w:t>投资者接待活动登记表</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701"/>
        <w:gridCol w:w="1276"/>
        <w:gridCol w:w="4394"/>
      </w:tblGrid>
      <w:tr w:rsidR="003D2C5D" w:rsidRPr="001506E2" w:rsidTr="001506E2">
        <w:tc>
          <w:tcPr>
            <w:tcW w:w="1702" w:type="dxa"/>
          </w:tcPr>
          <w:p w:rsidR="003D2C5D" w:rsidRPr="001506E2" w:rsidRDefault="003D2C5D" w:rsidP="001506E2">
            <w:pPr>
              <w:spacing w:line="400" w:lineRule="exact"/>
              <w:jc w:val="center"/>
              <w:rPr>
                <w:rFonts w:asciiTheme="minorEastAsia" w:eastAsiaTheme="minorEastAsia" w:hAnsiTheme="minorEastAsia"/>
                <w:b/>
                <w:color w:val="000000"/>
                <w:sz w:val="24"/>
                <w:szCs w:val="24"/>
              </w:rPr>
            </w:pPr>
            <w:r w:rsidRPr="001506E2">
              <w:rPr>
                <w:rFonts w:asciiTheme="minorEastAsia" w:eastAsiaTheme="minorEastAsia" w:hAnsiTheme="minorEastAsia" w:cs="宋体" w:hint="eastAsia"/>
                <w:b/>
                <w:color w:val="000000"/>
                <w:sz w:val="24"/>
                <w:szCs w:val="24"/>
              </w:rPr>
              <w:t>时间</w:t>
            </w:r>
          </w:p>
        </w:tc>
        <w:tc>
          <w:tcPr>
            <w:tcW w:w="7371" w:type="dxa"/>
            <w:gridSpan w:val="3"/>
          </w:tcPr>
          <w:p w:rsidR="003D2C5D" w:rsidRPr="001506E2" w:rsidRDefault="00CB61DE" w:rsidP="001506E2">
            <w:pPr>
              <w:spacing w:line="400" w:lineRule="exact"/>
              <w:rPr>
                <w:rFonts w:asciiTheme="minorEastAsia" w:eastAsiaTheme="minorEastAsia" w:hAnsiTheme="minorEastAsia"/>
                <w:color w:val="000000"/>
                <w:sz w:val="24"/>
                <w:szCs w:val="24"/>
                <w:u w:val="single"/>
              </w:rPr>
            </w:pPr>
            <w:r>
              <w:rPr>
                <w:rFonts w:asciiTheme="minorEastAsia" w:eastAsiaTheme="minorEastAsia" w:hAnsiTheme="minorEastAsia" w:cs="宋体" w:hint="eastAsia"/>
                <w:color w:val="000000"/>
                <w:sz w:val="24"/>
                <w:szCs w:val="24"/>
              </w:rPr>
              <w:t xml:space="preserve"> </w:t>
            </w:r>
            <w:r w:rsidRPr="001506E2">
              <w:rPr>
                <w:rFonts w:asciiTheme="minorEastAsia" w:eastAsiaTheme="minorEastAsia" w:hAnsiTheme="minorEastAsia" w:cs="宋体" w:hint="eastAsia"/>
                <w:color w:val="000000"/>
                <w:sz w:val="24"/>
                <w:szCs w:val="24"/>
                <w:u w:val="single"/>
              </w:rPr>
              <w:t xml:space="preserve"> </w:t>
            </w:r>
            <w:r w:rsidR="00153A99">
              <w:rPr>
                <w:rFonts w:asciiTheme="minorEastAsia" w:eastAsiaTheme="minorEastAsia" w:hAnsiTheme="minorEastAsia" w:cs="宋体" w:hint="eastAsia"/>
                <w:color w:val="000000"/>
                <w:sz w:val="24"/>
                <w:szCs w:val="24"/>
                <w:u w:val="single"/>
              </w:rPr>
              <w:t>2018</w:t>
            </w:r>
            <w:r w:rsidRPr="001506E2">
              <w:rPr>
                <w:rFonts w:asciiTheme="minorEastAsia" w:eastAsiaTheme="minorEastAsia" w:hAnsiTheme="minorEastAsia" w:cs="宋体" w:hint="eastAsia"/>
                <w:color w:val="000000"/>
                <w:sz w:val="24"/>
                <w:szCs w:val="24"/>
                <w:u w:val="single"/>
              </w:rPr>
              <w:t xml:space="preserve"> </w:t>
            </w:r>
            <w:r w:rsidR="003D2C5D" w:rsidRPr="001506E2">
              <w:rPr>
                <w:rFonts w:asciiTheme="minorEastAsia" w:eastAsiaTheme="minorEastAsia" w:hAnsiTheme="minorEastAsia" w:cs="宋体" w:hint="eastAsia"/>
                <w:color w:val="000000"/>
                <w:sz w:val="24"/>
                <w:szCs w:val="24"/>
              </w:rPr>
              <w:t>年</w:t>
            </w:r>
            <w:r w:rsidR="003D2C5D" w:rsidRPr="001506E2">
              <w:rPr>
                <w:rFonts w:asciiTheme="minorEastAsia" w:eastAsiaTheme="minorEastAsia" w:hAnsiTheme="minorEastAsia" w:cs="宋体" w:hint="eastAsia"/>
                <w:color w:val="000000"/>
                <w:sz w:val="24"/>
                <w:szCs w:val="24"/>
                <w:u w:val="single"/>
              </w:rPr>
              <w:t xml:space="preserve">  </w:t>
            </w:r>
            <w:r w:rsidR="003147AC">
              <w:rPr>
                <w:rFonts w:asciiTheme="minorEastAsia" w:eastAsiaTheme="minorEastAsia" w:hAnsiTheme="minorEastAsia" w:cs="宋体" w:hint="eastAsia"/>
                <w:color w:val="000000"/>
                <w:sz w:val="24"/>
                <w:szCs w:val="24"/>
                <w:u w:val="single"/>
              </w:rPr>
              <w:t>5</w:t>
            </w:r>
            <w:r w:rsidR="00153A99">
              <w:rPr>
                <w:rFonts w:asciiTheme="minorEastAsia" w:eastAsiaTheme="minorEastAsia" w:hAnsiTheme="minorEastAsia" w:cs="宋体" w:hint="eastAsia"/>
                <w:color w:val="000000"/>
                <w:sz w:val="24"/>
                <w:szCs w:val="24"/>
                <w:u w:val="single"/>
              </w:rPr>
              <w:t xml:space="preserve"> </w:t>
            </w:r>
            <w:r w:rsidR="003D2C5D" w:rsidRPr="001506E2">
              <w:rPr>
                <w:rFonts w:asciiTheme="minorEastAsia" w:eastAsiaTheme="minorEastAsia" w:hAnsiTheme="minorEastAsia" w:cs="宋体" w:hint="eastAsia"/>
                <w:color w:val="000000"/>
                <w:sz w:val="24"/>
                <w:szCs w:val="24"/>
                <w:u w:val="single"/>
              </w:rPr>
              <w:t xml:space="preserve"> </w:t>
            </w:r>
            <w:r w:rsidR="003D2C5D" w:rsidRPr="001506E2">
              <w:rPr>
                <w:rFonts w:asciiTheme="minorEastAsia" w:eastAsiaTheme="minorEastAsia" w:hAnsiTheme="minorEastAsia" w:cs="宋体" w:hint="eastAsia"/>
                <w:color w:val="000000"/>
                <w:sz w:val="24"/>
                <w:szCs w:val="24"/>
              </w:rPr>
              <w:t>月</w:t>
            </w:r>
            <w:r w:rsidR="003D2C5D" w:rsidRPr="001506E2">
              <w:rPr>
                <w:rFonts w:asciiTheme="minorEastAsia" w:eastAsiaTheme="minorEastAsia" w:hAnsiTheme="minorEastAsia" w:cs="宋体" w:hint="eastAsia"/>
                <w:color w:val="000000"/>
                <w:sz w:val="24"/>
                <w:szCs w:val="24"/>
                <w:u w:val="single"/>
              </w:rPr>
              <w:t xml:space="preserve"> </w:t>
            </w:r>
            <w:r w:rsidR="003147AC">
              <w:rPr>
                <w:rFonts w:asciiTheme="minorEastAsia" w:eastAsiaTheme="minorEastAsia" w:hAnsiTheme="minorEastAsia" w:cs="宋体" w:hint="eastAsia"/>
                <w:color w:val="000000"/>
                <w:sz w:val="24"/>
                <w:szCs w:val="24"/>
                <w:u w:val="single"/>
              </w:rPr>
              <w:t>2</w:t>
            </w:r>
            <w:r w:rsidR="00B4691A" w:rsidRPr="001506E2">
              <w:rPr>
                <w:rFonts w:asciiTheme="minorEastAsia" w:eastAsiaTheme="minorEastAsia" w:hAnsiTheme="minorEastAsia" w:cs="宋体" w:hint="eastAsia"/>
                <w:color w:val="000000"/>
                <w:sz w:val="24"/>
                <w:szCs w:val="24"/>
                <w:u w:val="single"/>
              </w:rPr>
              <w:t xml:space="preserve"> </w:t>
            </w:r>
            <w:r w:rsidR="00153A99">
              <w:rPr>
                <w:rFonts w:asciiTheme="minorEastAsia" w:eastAsiaTheme="minorEastAsia" w:hAnsiTheme="minorEastAsia" w:cs="宋体" w:hint="eastAsia"/>
                <w:color w:val="000000"/>
                <w:sz w:val="24"/>
                <w:szCs w:val="24"/>
                <w:u w:val="single"/>
              </w:rPr>
              <w:t xml:space="preserve"> </w:t>
            </w:r>
            <w:r w:rsidR="003D2C5D" w:rsidRPr="001506E2">
              <w:rPr>
                <w:rFonts w:asciiTheme="minorEastAsia" w:eastAsiaTheme="minorEastAsia" w:hAnsiTheme="minorEastAsia" w:cs="宋体" w:hint="eastAsia"/>
                <w:color w:val="000000"/>
                <w:sz w:val="24"/>
                <w:szCs w:val="24"/>
              </w:rPr>
              <w:t xml:space="preserve">日 </w:t>
            </w:r>
            <w:r w:rsidR="00B4691A" w:rsidRPr="001506E2">
              <w:rPr>
                <w:rFonts w:asciiTheme="minorEastAsia" w:eastAsiaTheme="minorEastAsia" w:hAnsiTheme="minorEastAsia" w:cs="宋体" w:hint="eastAsia"/>
                <w:color w:val="000000"/>
                <w:sz w:val="24"/>
                <w:szCs w:val="24"/>
              </w:rPr>
              <w:t xml:space="preserve">     </w:t>
            </w:r>
            <w:r w:rsidR="001506E2">
              <w:rPr>
                <w:rFonts w:asciiTheme="minorEastAsia" w:eastAsiaTheme="minorEastAsia" w:hAnsiTheme="minorEastAsia" w:cs="宋体" w:hint="eastAsia"/>
                <w:color w:val="000000"/>
                <w:sz w:val="24"/>
                <w:szCs w:val="24"/>
              </w:rPr>
              <w:t xml:space="preserve">  </w:t>
            </w:r>
            <w:r w:rsidR="00B4691A" w:rsidRPr="001506E2">
              <w:rPr>
                <w:rFonts w:asciiTheme="minorEastAsia" w:eastAsiaTheme="minorEastAsia" w:hAnsiTheme="minorEastAsia" w:cs="宋体" w:hint="eastAsia"/>
                <w:color w:val="000000"/>
                <w:sz w:val="24"/>
                <w:szCs w:val="24"/>
              </w:rPr>
              <w:t xml:space="preserve"> </w:t>
            </w:r>
            <w:r w:rsidR="00153A99">
              <w:rPr>
                <w:rFonts w:asciiTheme="minorEastAsia" w:eastAsiaTheme="minorEastAsia" w:hAnsiTheme="minorEastAsia" w:cs="宋体" w:hint="eastAsia"/>
                <w:color w:val="000000"/>
                <w:sz w:val="24"/>
                <w:szCs w:val="24"/>
                <w:u w:val="single"/>
              </w:rPr>
              <w:t xml:space="preserve"> 下</w:t>
            </w:r>
            <w:r w:rsidR="003D2C5D" w:rsidRPr="001506E2">
              <w:rPr>
                <w:rFonts w:asciiTheme="minorEastAsia" w:eastAsiaTheme="minorEastAsia" w:hAnsiTheme="minorEastAsia" w:cs="宋体" w:hint="eastAsia"/>
                <w:color w:val="000000"/>
                <w:sz w:val="24"/>
                <w:szCs w:val="24"/>
                <w:u w:val="single"/>
              </w:rPr>
              <w:t xml:space="preserve">  </w:t>
            </w:r>
            <w:r w:rsidR="003D2C5D" w:rsidRPr="001506E2">
              <w:rPr>
                <w:rFonts w:asciiTheme="minorEastAsia" w:eastAsiaTheme="minorEastAsia" w:hAnsiTheme="minorEastAsia" w:cs="宋体" w:hint="eastAsia"/>
                <w:color w:val="000000"/>
                <w:sz w:val="24"/>
                <w:szCs w:val="24"/>
              </w:rPr>
              <w:t xml:space="preserve">午 </w:t>
            </w:r>
            <w:r w:rsidR="00B4691A" w:rsidRPr="001506E2">
              <w:rPr>
                <w:rFonts w:asciiTheme="minorEastAsia" w:eastAsiaTheme="minorEastAsia" w:hAnsiTheme="minorEastAsia" w:cs="宋体" w:hint="eastAsia"/>
                <w:color w:val="000000"/>
                <w:sz w:val="24"/>
                <w:szCs w:val="24"/>
                <w:u w:val="single"/>
              </w:rPr>
              <w:t xml:space="preserve">  </w:t>
            </w:r>
            <w:r w:rsidR="00153A99">
              <w:rPr>
                <w:rFonts w:asciiTheme="minorEastAsia" w:eastAsiaTheme="minorEastAsia" w:hAnsiTheme="minorEastAsia" w:cs="宋体" w:hint="eastAsia"/>
                <w:color w:val="000000"/>
                <w:sz w:val="24"/>
                <w:szCs w:val="24"/>
                <w:u w:val="single"/>
              </w:rPr>
              <w:t>1</w:t>
            </w:r>
            <w:r w:rsidR="003147AC">
              <w:rPr>
                <w:rFonts w:asciiTheme="minorEastAsia" w:eastAsiaTheme="minorEastAsia" w:hAnsiTheme="minorEastAsia" w:cs="宋体" w:hint="eastAsia"/>
                <w:color w:val="000000"/>
                <w:sz w:val="24"/>
                <w:szCs w:val="24"/>
                <w:u w:val="single"/>
              </w:rPr>
              <w:t>5</w:t>
            </w:r>
            <w:r w:rsidR="00153A99">
              <w:rPr>
                <w:rFonts w:asciiTheme="minorEastAsia" w:eastAsiaTheme="minorEastAsia" w:hAnsiTheme="minorEastAsia" w:cs="宋体" w:hint="eastAsia"/>
                <w:color w:val="000000"/>
                <w:sz w:val="24"/>
                <w:szCs w:val="24"/>
                <w:u w:val="single"/>
              </w:rPr>
              <w:t xml:space="preserve"> </w:t>
            </w:r>
            <w:r w:rsidR="00B4691A" w:rsidRPr="001506E2">
              <w:rPr>
                <w:rFonts w:asciiTheme="minorEastAsia" w:eastAsiaTheme="minorEastAsia" w:hAnsiTheme="minorEastAsia" w:cs="宋体" w:hint="eastAsia"/>
                <w:color w:val="000000"/>
                <w:sz w:val="24"/>
                <w:szCs w:val="24"/>
              </w:rPr>
              <w:t xml:space="preserve"> ：</w:t>
            </w:r>
            <w:r w:rsidR="00B4691A" w:rsidRPr="001506E2">
              <w:rPr>
                <w:rFonts w:asciiTheme="minorEastAsia" w:eastAsiaTheme="minorEastAsia" w:hAnsiTheme="minorEastAsia" w:cs="宋体" w:hint="eastAsia"/>
                <w:color w:val="000000"/>
                <w:sz w:val="24"/>
                <w:szCs w:val="24"/>
                <w:u w:val="single"/>
              </w:rPr>
              <w:t xml:space="preserve"> </w:t>
            </w:r>
            <w:r w:rsidR="003147AC">
              <w:rPr>
                <w:rFonts w:asciiTheme="minorEastAsia" w:eastAsiaTheme="minorEastAsia" w:hAnsiTheme="minorEastAsia" w:cs="宋体" w:hint="eastAsia"/>
                <w:color w:val="000000"/>
                <w:sz w:val="24"/>
                <w:szCs w:val="24"/>
                <w:u w:val="single"/>
              </w:rPr>
              <w:t>1</w:t>
            </w:r>
            <w:r w:rsidR="00153A99">
              <w:rPr>
                <w:rFonts w:asciiTheme="minorEastAsia" w:eastAsiaTheme="minorEastAsia" w:hAnsiTheme="minorEastAsia" w:cs="宋体" w:hint="eastAsia"/>
                <w:color w:val="000000"/>
                <w:sz w:val="24"/>
                <w:szCs w:val="24"/>
                <w:u w:val="single"/>
              </w:rPr>
              <w:t xml:space="preserve">0 </w:t>
            </w:r>
            <w:r w:rsidR="00B4691A" w:rsidRPr="001506E2">
              <w:rPr>
                <w:rFonts w:asciiTheme="minorEastAsia" w:eastAsiaTheme="minorEastAsia" w:hAnsiTheme="minorEastAsia" w:cs="宋体" w:hint="eastAsia"/>
                <w:color w:val="000000"/>
                <w:sz w:val="24"/>
                <w:szCs w:val="24"/>
                <w:u w:val="single"/>
              </w:rPr>
              <w:t xml:space="preserve"> </w:t>
            </w:r>
            <w:r w:rsidR="00B4691A" w:rsidRPr="001506E2">
              <w:rPr>
                <w:rFonts w:asciiTheme="minorEastAsia" w:eastAsiaTheme="minorEastAsia" w:hAnsiTheme="minorEastAsia" w:cs="宋体" w:hint="eastAsia"/>
                <w:color w:val="000000"/>
                <w:sz w:val="24"/>
                <w:szCs w:val="24"/>
              </w:rPr>
              <w:t>时</w:t>
            </w:r>
          </w:p>
        </w:tc>
      </w:tr>
      <w:tr w:rsidR="003D2C5D" w:rsidRPr="001506E2" w:rsidTr="001506E2">
        <w:tc>
          <w:tcPr>
            <w:tcW w:w="1702" w:type="dxa"/>
          </w:tcPr>
          <w:p w:rsidR="003D2C5D" w:rsidRPr="001506E2" w:rsidRDefault="003D2C5D" w:rsidP="001506E2">
            <w:pPr>
              <w:spacing w:line="400" w:lineRule="exact"/>
              <w:jc w:val="center"/>
              <w:rPr>
                <w:rFonts w:asciiTheme="minorEastAsia" w:eastAsiaTheme="minorEastAsia" w:hAnsiTheme="minorEastAsia"/>
                <w:b/>
                <w:color w:val="000000"/>
                <w:sz w:val="24"/>
                <w:szCs w:val="24"/>
              </w:rPr>
            </w:pPr>
            <w:r w:rsidRPr="001506E2">
              <w:rPr>
                <w:rFonts w:asciiTheme="minorEastAsia" w:eastAsiaTheme="minorEastAsia" w:hAnsiTheme="minorEastAsia" w:cs="宋体" w:hint="eastAsia"/>
                <w:b/>
                <w:color w:val="000000"/>
                <w:sz w:val="24"/>
                <w:szCs w:val="24"/>
              </w:rPr>
              <w:t>地点</w:t>
            </w:r>
          </w:p>
        </w:tc>
        <w:tc>
          <w:tcPr>
            <w:tcW w:w="7371" w:type="dxa"/>
            <w:gridSpan w:val="3"/>
          </w:tcPr>
          <w:p w:rsidR="003D2C5D" w:rsidRPr="001506E2" w:rsidRDefault="003D2C5D" w:rsidP="001506E2">
            <w:pPr>
              <w:spacing w:line="400" w:lineRule="exact"/>
              <w:rPr>
                <w:rFonts w:asciiTheme="minorEastAsia" w:eastAsiaTheme="minorEastAsia" w:hAnsiTheme="minorEastAsia"/>
                <w:color w:val="000000"/>
                <w:sz w:val="24"/>
                <w:szCs w:val="24"/>
              </w:rPr>
            </w:pPr>
            <w:r w:rsidRPr="001506E2">
              <w:rPr>
                <w:rFonts w:asciiTheme="minorEastAsia" w:eastAsiaTheme="minorEastAsia" w:hAnsiTheme="minorEastAsia" w:hint="eastAsia"/>
                <w:color w:val="000000"/>
                <w:sz w:val="24"/>
                <w:szCs w:val="24"/>
              </w:rPr>
              <w:t xml:space="preserve">   </w:t>
            </w:r>
            <w:r w:rsidR="00153A99">
              <w:rPr>
                <w:rFonts w:asciiTheme="minorEastAsia" w:eastAsiaTheme="minorEastAsia" w:hAnsiTheme="minorEastAsia" w:hint="eastAsia"/>
                <w:color w:val="000000"/>
                <w:sz w:val="24"/>
                <w:szCs w:val="24"/>
              </w:rPr>
              <w:t>杭州海越大厦</w:t>
            </w:r>
          </w:p>
        </w:tc>
      </w:tr>
      <w:tr w:rsidR="00B4691A" w:rsidRPr="001506E2" w:rsidTr="001506E2">
        <w:tc>
          <w:tcPr>
            <w:tcW w:w="1702" w:type="dxa"/>
          </w:tcPr>
          <w:p w:rsidR="00B4691A" w:rsidRPr="001506E2" w:rsidRDefault="00B4691A" w:rsidP="001506E2">
            <w:pPr>
              <w:spacing w:line="400" w:lineRule="exact"/>
              <w:jc w:val="center"/>
              <w:rPr>
                <w:rFonts w:asciiTheme="minorEastAsia" w:eastAsiaTheme="minorEastAsia" w:hAnsiTheme="minorEastAsia"/>
                <w:b/>
                <w:color w:val="000000"/>
                <w:sz w:val="24"/>
                <w:szCs w:val="24"/>
              </w:rPr>
            </w:pPr>
            <w:r w:rsidRPr="001506E2">
              <w:rPr>
                <w:rFonts w:asciiTheme="minorEastAsia" w:eastAsiaTheme="minorEastAsia" w:hAnsiTheme="minorEastAsia" w:cs="宋体" w:hint="eastAsia"/>
                <w:b/>
                <w:color w:val="000000"/>
                <w:sz w:val="24"/>
                <w:szCs w:val="24"/>
              </w:rPr>
              <w:t>接待人姓名</w:t>
            </w:r>
          </w:p>
        </w:tc>
        <w:tc>
          <w:tcPr>
            <w:tcW w:w="1701" w:type="dxa"/>
          </w:tcPr>
          <w:p w:rsidR="00B4691A" w:rsidRPr="001506E2" w:rsidRDefault="00153A99" w:rsidP="001506E2">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曹志亚</w:t>
            </w:r>
          </w:p>
        </w:tc>
        <w:tc>
          <w:tcPr>
            <w:tcW w:w="1276" w:type="dxa"/>
          </w:tcPr>
          <w:p w:rsidR="00B4691A" w:rsidRPr="001506E2" w:rsidRDefault="00B4691A" w:rsidP="001506E2">
            <w:pPr>
              <w:spacing w:line="400" w:lineRule="exact"/>
              <w:ind w:firstLineChars="100" w:firstLine="241"/>
              <w:rPr>
                <w:rFonts w:asciiTheme="minorEastAsia" w:eastAsiaTheme="minorEastAsia" w:hAnsiTheme="minorEastAsia"/>
                <w:b/>
                <w:color w:val="000000"/>
                <w:sz w:val="24"/>
                <w:szCs w:val="24"/>
              </w:rPr>
            </w:pPr>
            <w:r w:rsidRPr="001506E2">
              <w:rPr>
                <w:rFonts w:asciiTheme="minorEastAsia" w:eastAsiaTheme="minorEastAsia" w:hAnsiTheme="minorEastAsia" w:hint="eastAsia"/>
                <w:b/>
                <w:color w:val="000000"/>
                <w:sz w:val="24"/>
                <w:szCs w:val="24"/>
              </w:rPr>
              <w:t>职务</w:t>
            </w:r>
          </w:p>
        </w:tc>
        <w:tc>
          <w:tcPr>
            <w:tcW w:w="4394" w:type="dxa"/>
          </w:tcPr>
          <w:p w:rsidR="00B4691A" w:rsidRPr="001506E2" w:rsidRDefault="00153A99" w:rsidP="00652788">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董秘</w:t>
            </w:r>
          </w:p>
        </w:tc>
      </w:tr>
      <w:tr w:rsidR="00652788" w:rsidRPr="001506E2" w:rsidTr="001506E2">
        <w:tc>
          <w:tcPr>
            <w:tcW w:w="1702" w:type="dxa"/>
          </w:tcPr>
          <w:p w:rsidR="00652788" w:rsidRPr="001506E2" w:rsidRDefault="00652788" w:rsidP="001506E2">
            <w:pPr>
              <w:spacing w:line="400" w:lineRule="exact"/>
              <w:jc w:val="center"/>
              <w:rPr>
                <w:rFonts w:asciiTheme="minorEastAsia" w:eastAsiaTheme="minorEastAsia" w:hAnsiTheme="minorEastAsia" w:cs="宋体"/>
                <w:b/>
                <w:color w:val="000000"/>
                <w:sz w:val="24"/>
                <w:szCs w:val="24"/>
              </w:rPr>
            </w:pPr>
            <w:r w:rsidRPr="001506E2">
              <w:rPr>
                <w:rFonts w:asciiTheme="minorEastAsia" w:eastAsiaTheme="minorEastAsia" w:hAnsiTheme="minorEastAsia" w:cs="宋体" w:hint="eastAsia"/>
                <w:b/>
                <w:color w:val="000000"/>
                <w:sz w:val="24"/>
                <w:szCs w:val="24"/>
              </w:rPr>
              <w:t>接待人姓名</w:t>
            </w:r>
          </w:p>
        </w:tc>
        <w:tc>
          <w:tcPr>
            <w:tcW w:w="1701" w:type="dxa"/>
          </w:tcPr>
          <w:p w:rsidR="00652788" w:rsidRDefault="00652788" w:rsidP="001506E2">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李律</w:t>
            </w:r>
          </w:p>
        </w:tc>
        <w:tc>
          <w:tcPr>
            <w:tcW w:w="1276" w:type="dxa"/>
          </w:tcPr>
          <w:p w:rsidR="00652788" w:rsidRPr="001506E2" w:rsidRDefault="00652788" w:rsidP="001506E2">
            <w:pPr>
              <w:spacing w:line="400" w:lineRule="exact"/>
              <w:ind w:firstLineChars="100" w:firstLine="241"/>
              <w:rPr>
                <w:rFonts w:asciiTheme="minorEastAsia" w:eastAsiaTheme="minorEastAsia" w:hAnsiTheme="minorEastAsia"/>
                <w:b/>
                <w:color w:val="000000"/>
                <w:sz w:val="24"/>
                <w:szCs w:val="24"/>
              </w:rPr>
            </w:pPr>
            <w:r w:rsidRPr="001506E2">
              <w:rPr>
                <w:rFonts w:asciiTheme="minorEastAsia" w:eastAsiaTheme="minorEastAsia" w:hAnsiTheme="minorEastAsia" w:hint="eastAsia"/>
                <w:b/>
                <w:color w:val="000000"/>
                <w:sz w:val="24"/>
                <w:szCs w:val="24"/>
              </w:rPr>
              <w:t>职务</w:t>
            </w:r>
          </w:p>
        </w:tc>
        <w:tc>
          <w:tcPr>
            <w:tcW w:w="4394" w:type="dxa"/>
          </w:tcPr>
          <w:p w:rsidR="00652788" w:rsidRDefault="00652788" w:rsidP="00652788">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证代</w:t>
            </w:r>
          </w:p>
        </w:tc>
      </w:tr>
      <w:tr w:rsidR="001506E2" w:rsidRPr="001506E2" w:rsidTr="001506E2">
        <w:tc>
          <w:tcPr>
            <w:tcW w:w="1702" w:type="dxa"/>
          </w:tcPr>
          <w:p w:rsidR="001506E2" w:rsidRPr="001506E2" w:rsidRDefault="001506E2" w:rsidP="001506E2">
            <w:pPr>
              <w:spacing w:line="400" w:lineRule="exact"/>
              <w:jc w:val="center"/>
              <w:rPr>
                <w:rFonts w:asciiTheme="minorEastAsia" w:eastAsiaTheme="minorEastAsia" w:hAnsiTheme="minorEastAsia" w:cs="宋体"/>
                <w:b/>
                <w:color w:val="000000"/>
                <w:sz w:val="24"/>
                <w:szCs w:val="24"/>
              </w:rPr>
            </w:pPr>
            <w:r w:rsidRPr="001506E2">
              <w:rPr>
                <w:rFonts w:asciiTheme="minorEastAsia" w:eastAsiaTheme="minorEastAsia" w:hAnsiTheme="minorEastAsia" w:cs="宋体" w:hint="eastAsia"/>
                <w:b/>
                <w:color w:val="000000"/>
                <w:sz w:val="24"/>
                <w:szCs w:val="24"/>
              </w:rPr>
              <w:t>接待人姓名</w:t>
            </w:r>
          </w:p>
        </w:tc>
        <w:tc>
          <w:tcPr>
            <w:tcW w:w="1701" w:type="dxa"/>
          </w:tcPr>
          <w:p w:rsidR="001506E2" w:rsidRPr="001506E2" w:rsidRDefault="003147AC" w:rsidP="001506E2">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顾川</w:t>
            </w:r>
          </w:p>
        </w:tc>
        <w:tc>
          <w:tcPr>
            <w:tcW w:w="1276" w:type="dxa"/>
          </w:tcPr>
          <w:p w:rsidR="001506E2" w:rsidRPr="001506E2" w:rsidRDefault="001506E2" w:rsidP="001506E2">
            <w:pPr>
              <w:spacing w:line="400" w:lineRule="exact"/>
              <w:ind w:firstLineChars="100" w:firstLine="241"/>
              <w:rPr>
                <w:rFonts w:asciiTheme="minorEastAsia" w:eastAsiaTheme="minorEastAsia" w:hAnsiTheme="minorEastAsia"/>
                <w:b/>
                <w:color w:val="000000"/>
                <w:sz w:val="24"/>
                <w:szCs w:val="24"/>
              </w:rPr>
            </w:pPr>
            <w:r w:rsidRPr="001506E2">
              <w:rPr>
                <w:rFonts w:asciiTheme="minorEastAsia" w:eastAsiaTheme="minorEastAsia" w:hAnsiTheme="minorEastAsia" w:hint="eastAsia"/>
                <w:b/>
                <w:color w:val="000000"/>
                <w:sz w:val="24"/>
                <w:szCs w:val="24"/>
              </w:rPr>
              <w:t>职务</w:t>
            </w:r>
          </w:p>
        </w:tc>
        <w:tc>
          <w:tcPr>
            <w:tcW w:w="4394" w:type="dxa"/>
          </w:tcPr>
          <w:p w:rsidR="001506E2" w:rsidRPr="001506E2" w:rsidRDefault="00897849" w:rsidP="00652788">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计</w:t>
            </w:r>
            <w:r w:rsidR="003147AC">
              <w:rPr>
                <w:rFonts w:asciiTheme="minorEastAsia" w:eastAsiaTheme="minorEastAsia" w:hAnsiTheme="minorEastAsia" w:hint="eastAsia"/>
                <w:color w:val="000000"/>
                <w:sz w:val="24"/>
                <w:szCs w:val="24"/>
              </w:rPr>
              <w:t>财</w:t>
            </w:r>
            <w:r>
              <w:rPr>
                <w:rFonts w:asciiTheme="minorEastAsia" w:eastAsiaTheme="minorEastAsia" w:hAnsiTheme="minorEastAsia" w:hint="eastAsia"/>
                <w:color w:val="000000"/>
                <w:sz w:val="24"/>
                <w:szCs w:val="24"/>
              </w:rPr>
              <w:t>部</w:t>
            </w:r>
          </w:p>
        </w:tc>
      </w:tr>
      <w:tr w:rsidR="001506E2" w:rsidRPr="001506E2" w:rsidTr="001506E2">
        <w:tc>
          <w:tcPr>
            <w:tcW w:w="1702" w:type="dxa"/>
          </w:tcPr>
          <w:p w:rsidR="001506E2" w:rsidRPr="001506E2" w:rsidRDefault="001506E2" w:rsidP="001506E2">
            <w:pPr>
              <w:spacing w:line="400" w:lineRule="exact"/>
              <w:jc w:val="center"/>
              <w:rPr>
                <w:rFonts w:asciiTheme="minorEastAsia" w:eastAsiaTheme="minorEastAsia" w:hAnsiTheme="minorEastAsia" w:cs="宋体"/>
                <w:b/>
                <w:color w:val="000000"/>
                <w:sz w:val="24"/>
                <w:szCs w:val="24"/>
              </w:rPr>
            </w:pPr>
            <w:r w:rsidRPr="001506E2">
              <w:rPr>
                <w:rFonts w:asciiTheme="minorEastAsia" w:eastAsiaTheme="minorEastAsia" w:hAnsiTheme="minorEastAsia" w:cs="宋体" w:hint="eastAsia"/>
                <w:b/>
                <w:color w:val="000000"/>
                <w:sz w:val="24"/>
                <w:szCs w:val="24"/>
              </w:rPr>
              <w:t>接待人姓名</w:t>
            </w:r>
          </w:p>
        </w:tc>
        <w:tc>
          <w:tcPr>
            <w:tcW w:w="1701" w:type="dxa"/>
          </w:tcPr>
          <w:p w:rsidR="001506E2" w:rsidRPr="001506E2" w:rsidRDefault="00652788" w:rsidP="001506E2">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许明</w:t>
            </w:r>
          </w:p>
        </w:tc>
        <w:tc>
          <w:tcPr>
            <w:tcW w:w="1276" w:type="dxa"/>
          </w:tcPr>
          <w:p w:rsidR="001506E2" w:rsidRPr="001506E2" w:rsidRDefault="001506E2" w:rsidP="001506E2">
            <w:pPr>
              <w:spacing w:line="400" w:lineRule="exact"/>
              <w:ind w:firstLineChars="100" w:firstLine="241"/>
              <w:rPr>
                <w:rFonts w:asciiTheme="minorEastAsia" w:eastAsiaTheme="minorEastAsia" w:hAnsiTheme="minorEastAsia"/>
                <w:b/>
                <w:color w:val="000000"/>
                <w:sz w:val="24"/>
                <w:szCs w:val="24"/>
              </w:rPr>
            </w:pPr>
            <w:r w:rsidRPr="001506E2">
              <w:rPr>
                <w:rFonts w:asciiTheme="minorEastAsia" w:eastAsiaTheme="minorEastAsia" w:hAnsiTheme="minorEastAsia" w:hint="eastAsia"/>
                <w:b/>
                <w:color w:val="000000"/>
                <w:sz w:val="24"/>
                <w:szCs w:val="24"/>
              </w:rPr>
              <w:t>职务</w:t>
            </w:r>
          </w:p>
        </w:tc>
        <w:tc>
          <w:tcPr>
            <w:tcW w:w="4394" w:type="dxa"/>
          </w:tcPr>
          <w:p w:rsidR="001506E2" w:rsidRPr="001506E2" w:rsidRDefault="00652788" w:rsidP="00652788">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宁波海越</w:t>
            </w:r>
          </w:p>
        </w:tc>
      </w:tr>
      <w:tr w:rsidR="003D2C5D" w:rsidRPr="001506E2" w:rsidTr="00701FFD">
        <w:trPr>
          <w:trHeight w:val="3769"/>
        </w:trPr>
        <w:tc>
          <w:tcPr>
            <w:tcW w:w="1702" w:type="dxa"/>
          </w:tcPr>
          <w:p w:rsidR="00B4691A" w:rsidRPr="001506E2" w:rsidRDefault="00B4691A" w:rsidP="001506E2">
            <w:pPr>
              <w:spacing w:line="400" w:lineRule="exact"/>
              <w:jc w:val="center"/>
              <w:rPr>
                <w:rFonts w:asciiTheme="minorEastAsia" w:eastAsiaTheme="minorEastAsia" w:hAnsiTheme="minorEastAsia" w:cs="宋体"/>
                <w:b/>
                <w:color w:val="000000"/>
                <w:sz w:val="24"/>
                <w:szCs w:val="24"/>
              </w:rPr>
            </w:pPr>
          </w:p>
          <w:p w:rsidR="001506E2" w:rsidRPr="001506E2" w:rsidRDefault="001506E2" w:rsidP="001506E2">
            <w:pPr>
              <w:spacing w:line="400" w:lineRule="exact"/>
              <w:jc w:val="center"/>
              <w:rPr>
                <w:rFonts w:asciiTheme="minorEastAsia" w:eastAsiaTheme="minorEastAsia" w:hAnsiTheme="minorEastAsia" w:cs="宋体"/>
                <w:b/>
                <w:color w:val="000000"/>
                <w:sz w:val="24"/>
                <w:szCs w:val="24"/>
              </w:rPr>
            </w:pPr>
          </w:p>
          <w:p w:rsidR="001506E2" w:rsidRPr="001506E2" w:rsidRDefault="001506E2" w:rsidP="001506E2">
            <w:pPr>
              <w:spacing w:line="400" w:lineRule="exact"/>
              <w:jc w:val="center"/>
              <w:rPr>
                <w:rFonts w:asciiTheme="minorEastAsia" w:eastAsiaTheme="minorEastAsia" w:hAnsiTheme="minorEastAsia" w:cs="宋体"/>
                <w:b/>
                <w:color w:val="000000"/>
                <w:sz w:val="24"/>
                <w:szCs w:val="24"/>
              </w:rPr>
            </w:pPr>
          </w:p>
          <w:p w:rsidR="003D2C5D" w:rsidRPr="001506E2" w:rsidRDefault="003D2C5D" w:rsidP="001506E2">
            <w:pPr>
              <w:spacing w:line="400" w:lineRule="exact"/>
              <w:jc w:val="center"/>
              <w:rPr>
                <w:rFonts w:asciiTheme="minorEastAsia" w:eastAsiaTheme="minorEastAsia" w:hAnsiTheme="minorEastAsia"/>
                <w:b/>
                <w:color w:val="000000"/>
                <w:sz w:val="24"/>
                <w:szCs w:val="24"/>
              </w:rPr>
            </w:pPr>
            <w:r w:rsidRPr="001506E2">
              <w:rPr>
                <w:rFonts w:asciiTheme="minorEastAsia" w:eastAsiaTheme="minorEastAsia" w:hAnsiTheme="minorEastAsia" w:cs="宋体" w:hint="eastAsia"/>
                <w:b/>
                <w:color w:val="000000"/>
                <w:sz w:val="24"/>
                <w:szCs w:val="24"/>
              </w:rPr>
              <w:t>参与单位名称及人员姓名</w:t>
            </w:r>
          </w:p>
        </w:tc>
        <w:tc>
          <w:tcPr>
            <w:tcW w:w="7371" w:type="dxa"/>
            <w:gridSpan w:val="3"/>
          </w:tcPr>
          <w:tbl>
            <w:tblPr>
              <w:tblStyle w:val="a3"/>
              <w:tblW w:w="7116" w:type="dxa"/>
              <w:tblLayout w:type="fixed"/>
              <w:tblLook w:val="04A0"/>
            </w:tblPr>
            <w:tblGrid>
              <w:gridCol w:w="1595"/>
              <w:gridCol w:w="3679"/>
              <w:gridCol w:w="1842"/>
            </w:tblGrid>
            <w:tr w:rsidR="003D2C5D" w:rsidRPr="001506E2" w:rsidTr="001506E2">
              <w:tc>
                <w:tcPr>
                  <w:tcW w:w="1595" w:type="dxa"/>
                </w:tcPr>
                <w:p w:rsidR="003D2C5D" w:rsidRPr="001506E2" w:rsidRDefault="003D2C5D" w:rsidP="001506E2">
                  <w:pPr>
                    <w:spacing w:line="400" w:lineRule="exact"/>
                    <w:jc w:val="center"/>
                    <w:rPr>
                      <w:rFonts w:asciiTheme="minorEastAsia" w:eastAsiaTheme="minorEastAsia" w:hAnsiTheme="minorEastAsia" w:cs="宋体"/>
                      <w:b/>
                      <w:color w:val="000000"/>
                      <w:sz w:val="24"/>
                      <w:szCs w:val="24"/>
                    </w:rPr>
                  </w:pPr>
                  <w:r w:rsidRPr="001506E2">
                    <w:rPr>
                      <w:rFonts w:asciiTheme="minorEastAsia" w:eastAsiaTheme="minorEastAsia" w:hAnsiTheme="minorEastAsia" w:cs="宋体" w:hint="eastAsia"/>
                      <w:b/>
                      <w:color w:val="000000"/>
                      <w:sz w:val="24"/>
                      <w:szCs w:val="24"/>
                    </w:rPr>
                    <w:t>来访人姓名</w:t>
                  </w:r>
                </w:p>
              </w:tc>
              <w:tc>
                <w:tcPr>
                  <w:tcW w:w="3679" w:type="dxa"/>
                </w:tcPr>
                <w:p w:rsidR="003D2C5D" w:rsidRPr="001506E2" w:rsidRDefault="003D2C5D" w:rsidP="001506E2">
                  <w:pPr>
                    <w:spacing w:line="400" w:lineRule="exact"/>
                    <w:jc w:val="center"/>
                    <w:rPr>
                      <w:rFonts w:asciiTheme="minorEastAsia" w:eastAsiaTheme="minorEastAsia" w:hAnsiTheme="minorEastAsia" w:cs="宋体"/>
                      <w:b/>
                      <w:color w:val="000000"/>
                      <w:sz w:val="24"/>
                      <w:szCs w:val="24"/>
                    </w:rPr>
                  </w:pPr>
                  <w:r w:rsidRPr="001506E2">
                    <w:rPr>
                      <w:rFonts w:asciiTheme="minorEastAsia" w:eastAsiaTheme="minorEastAsia" w:hAnsiTheme="minorEastAsia" w:cs="宋体" w:hint="eastAsia"/>
                      <w:b/>
                      <w:color w:val="000000"/>
                      <w:sz w:val="24"/>
                      <w:szCs w:val="24"/>
                    </w:rPr>
                    <w:t>单 位</w:t>
                  </w:r>
                </w:p>
              </w:tc>
              <w:tc>
                <w:tcPr>
                  <w:tcW w:w="1842" w:type="dxa"/>
                </w:tcPr>
                <w:p w:rsidR="003D2C5D" w:rsidRPr="001506E2" w:rsidRDefault="003D2C5D" w:rsidP="001506E2">
                  <w:pPr>
                    <w:spacing w:line="400" w:lineRule="exact"/>
                    <w:ind w:firstLineChars="200" w:firstLine="482"/>
                    <w:rPr>
                      <w:rFonts w:asciiTheme="minorEastAsia" w:eastAsiaTheme="minorEastAsia" w:hAnsiTheme="minorEastAsia" w:cs="宋体"/>
                      <w:b/>
                      <w:color w:val="000000"/>
                      <w:sz w:val="24"/>
                      <w:szCs w:val="24"/>
                    </w:rPr>
                  </w:pPr>
                  <w:r w:rsidRPr="001506E2">
                    <w:rPr>
                      <w:rFonts w:asciiTheme="minorEastAsia" w:eastAsiaTheme="minorEastAsia" w:hAnsiTheme="minorEastAsia" w:cs="宋体" w:hint="eastAsia"/>
                      <w:b/>
                      <w:color w:val="000000"/>
                      <w:sz w:val="24"/>
                      <w:szCs w:val="24"/>
                    </w:rPr>
                    <w:t>职务</w:t>
                  </w:r>
                </w:p>
              </w:tc>
            </w:tr>
            <w:tr w:rsidR="003147AC" w:rsidRPr="001506E2" w:rsidTr="00AD52E7">
              <w:trPr>
                <w:trHeight w:val="529"/>
              </w:trPr>
              <w:tc>
                <w:tcPr>
                  <w:tcW w:w="1595" w:type="dxa"/>
                  <w:vAlign w:val="center"/>
                </w:tcPr>
                <w:p w:rsidR="003147AC" w:rsidRPr="003147AC" w:rsidRDefault="003147AC" w:rsidP="003147AC">
                  <w:pPr>
                    <w:widowControl/>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罗婷</w:t>
                  </w:r>
                </w:p>
              </w:tc>
              <w:tc>
                <w:tcPr>
                  <w:tcW w:w="3679"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中信建投证券</w:t>
                  </w:r>
                </w:p>
              </w:tc>
              <w:tc>
                <w:tcPr>
                  <w:tcW w:w="1842" w:type="dxa"/>
                </w:tcPr>
                <w:p w:rsidR="003147AC" w:rsidRPr="001506E2" w:rsidRDefault="003147AC" w:rsidP="003147AC">
                  <w:pPr>
                    <w:spacing w:line="400" w:lineRule="exact"/>
                    <w:jc w:val="center"/>
                    <w:rPr>
                      <w:rFonts w:asciiTheme="minorEastAsia" w:eastAsiaTheme="minorEastAsia" w:hAnsiTheme="minorEastAsia" w:cs="宋体"/>
                      <w:color w:val="000000"/>
                      <w:sz w:val="24"/>
                      <w:szCs w:val="24"/>
                    </w:rPr>
                  </w:pPr>
                </w:p>
              </w:tc>
            </w:tr>
            <w:tr w:rsidR="003147AC" w:rsidRPr="001506E2" w:rsidTr="00AD52E7">
              <w:trPr>
                <w:trHeight w:val="551"/>
              </w:trPr>
              <w:tc>
                <w:tcPr>
                  <w:tcW w:w="1595"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邓胜</w:t>
                  </w:r>
                </w:p>
              </w:tc>
              <w:tc>
                <w:tcPr>
                  <w:tcW w:w="3679"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中信建投证券</w:t>
                  </w:r>
                </w:p>
              </w:tc>
              <w:tc>
                <w:tcPr>
                  <w:tcW w:w="1842" w:type="dxa"/>
                </w:tcPr>
                <w:p w:rsidR="003147AC" w:rsidRPr="001506E2" w:rsidRDefault="003147AC" w:rsidP="003147AC">
                  <w:pPr>
                    <w:spacing w:line="400" w:lineRule="exact"/>
                    <w:jc w:val="center"/>
                    <w:rPr>
                      <w:rFonts w:asciiTheme="minorEastAsia" w:eastAsiaTheme="minorEastAsia" w:hAnsiTheme="minorEastAsia" w:cs="宋体"/>
                      <w:color w:val="000000"/>
                      <w:sz w:val="24"/>
                      <w:szCs w:val="24"/>
                    </w:rPr>
                  </w:pPr>
                </w:p>
              </w:tc>
            </w:tr>
            <w:tr w:rsidR="003147AC" w:rsidRPr="001506E2" w:rsidTr="00AD52E7">
              <w:trPr>
                <w:trHeight w:val="558"/>
              </w:trPr>
              <w:tc>
                <w:tcPr>
                  <w:tcW w:w="1595"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韩云生</w:t>
                  </w:r>
                </w:p>
              </w:tc>
              <w:tc>
                <w:tcPr>
                  <w:tcW w:w="3679"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银华基金</w:t>
                  </w:r>
                </w:p>
              </w:tc>
              <w:tc>
                <w:tcPr>
                  <w:tcW w:w="1842" w:type="dxa"/>
                </w:tcPr>
                <w:p w:rsidR="003147AC" w:rsidRPr="001506E2" w:rsidRDefault="003147AC" w:rsidP="003147AC">
                  <w:pPr>
                    <w:spacing w:line="400" w:lineRule="exact"/>
                    <w:jc w:val="center"/>
                    <w:rPr>
                      <w:rFonts w:asciiTheme="minorEastAsia" w:eastAsiaTheme="minorEastAsia" w:hAnsiTheme="minorEastAsia" w:cs="宋体"/>
                      <w:color w:val="000000"/>
                      <w:sz w:val="24"/>
                      <w:szCs w:val="24"/>
                    </w:rPr>
                  </w:pPr>
                </w:p>
              </w:tc>
            </w:tr>
            <w:tr w:rsidR="003147AC" w:rsidRPr="001506E2" w:rsidTr="00AD52E7">
              <w:trPr>
                <w:trHeight w:val="566"/>
              </w:trPr>
              <w:tc>
                <w:tcPr>
                  <w:tcW w:w="1595"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张璐</w:t>
                  </w:r>
                </w:p>
              </w:tc>
              <w:tc>
                <w:tcPr>
                  <w:tcW w:w="3679"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昆仑健康保险股份有限公司</w:t>
                  </w:r>
                </w:p>
              </w:tc>
              <w:tc>
                <w:tcPr>
                  <w:tcW w:w="1842" w:type="dxa"/>
                </w:tcPr>
                <w:p w:rsidR="003147AC" w:rsidRPr="001506E2" w:rsidRDefault="003147AC" w:rsidP="003147AC">
                  <w:pPr>
                    <w:spacing w:line="400" w:lineRule="exact"/>
                    <w:jc w:val="center"/>
                    <w:rPr>
                      <w:rFonts w:asciiTheme="minorEastAsia" w:eastAsiaTheme="minorEastAsia" w:hAnsiTheme="minorEastAsia" w:cs="宋体"/>
                      <w:color w:val="000000"/>
                      <w:sz w:val="24"/>
                      <w:szCs w:val="24"/>
                    </w:rPr>
                  </w:pPr>
                </w:p>
              </w:tc>
            </w:tr>
            <w:tr w:rsidR="003147AC" w:rsidRPr="001506E2" w:rsidTr="00AD52E7">
              <w:trPr>
                <w:trHeight w:val="561"/>
              </w:trPr>
              <w:tc>
                <w:tcPr>
                  <w:tcW w:w="1595"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李岩</w:t>
                  </w:r>
                </w:p>
              </w:tc>
              <w:tc>
                <w:tcPr>
                  <w:tcW w:w="3679"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中阅资本</w:t>
                  </w:r>
                </w:p>
              </w:tc>
              <w:tc>
                <w:tcPr>
                  <w:tcW w:w="1842" w:type="dxa"/>
                </w:tcPr>
                <w:p w:rsidR="003147AC" w:rsidRPr="001506E2" w:rsidRDefault="003147AC" w:rsidP="003147AC">
                  <w:pPr>
                    <w:spacing w:line="400" w:lineRule="exact"/>
                    <w:jc w:val="center"/>
                    <w:rPr>
                      <w:rFonts w:asciiTheme="minorEastAsia" w:eastAsiaTheme="minorEastAsia" w:hAnsiTheme="minorEastAsia" w:cs="宋体"/>
                      <w:color w:val="000000"/>
                      <w:sz w:val="24"/>
                      <w:szCs w:val="24"/>
                    </w:rPr>
                  </w:pPr>
                </w:p>
              </w:tc>
            </w:tr>
            <w:tr w:rsidR="003147AC" w:rsidRPr="001506E2" w:rsidTr="00AD52E7">
              <w:trPr>
                <w:trHeight w:val="547"/>
              </w:trPr>
              <w:tc>
                <w:tcPr>
                  <w:tcW w:w="1595"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吴小鹏</w:t>
                  </w:r>
                </w:p>
              </w:tc>
              <w:tc>
                <w:tcPr>
                  <w:tcW w:w="3679"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中融景诚投资</w:t>
                  </w:r>
                </w:p>
              </w:tc>
              <w:tc>
                <w:tcPr>
                  <w:tcW w:w="1842" w:type="dxa"/>
                </w:tcPr>
                <w:p w:rsidR="003147AC" w:rsidRPr="001506E2" w:rsidRDefault="003147AC" w:rsidP="003147AC">
                  <w:pPr>
                    <w:spacing w:line="400" w:lineRule="exact"/>
                    <w:rPr>
                      <w:rFonts w:asciiTheme="minorEastAsia" w:eastAsiaTheme="minorEastAsia" w:hAnsiTheme="minorEastAsia" w:cs="宋体"/>
                      <w:color w:val="000000"/>
                      <w:sz w:val="24"/>
                      <w:szCs w:val="24"/>
                    </w:rPr>
                  </w:pPr>
                </w:p>
              </w:tc>
            </w:tr>
            <w:tr w:rsidR="003147AC" w:rsidRPr="001506E2" w:rsidTr="00AD52E7">
              <w:trPr>
                <w:trHeight w:val="547"/>
              </w:trPr>
              <w:tc>
                <w:tcPr>
                  <w:tcW w:w="1595"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孙露</w:t>
                  </w:r>
                </w:p>
              </w:tc>
              <w:tc>
                <w:tcPr>
                  <w:tcW w:w="3679"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浙银资本</w:t>
                  </w:r>
                </w:p>
              </w:tc>
              <w:tc>
                <w:tcPr>
                  <w:tcW w:w="1842" w:type="dxa"/>
                </w:tcPr>
                <w:p w:rsidR="003147AC" w:rsidRPr="001506E2" w:rsidRDefault="003147AC" w:rsidP="003147AC">
                  <w:pPr>
                    <w:spacing w:line="400" w:lineRule="exact"/>
                    <w:rPr>
                      <w:rFonts w:asciiTheme="minorEastAsia" w:eastAsiaTheme="minorEastAsia" w:hAnsiTheme="minorEastAsia" w:cs="宋体"/>
                      <w:color w:val="000000"/>
                      <w:sz w:val="24"/>
                      <w:szCs w:val="24"/>
                    </w:rPr>
                  </w:pPr>
                </w:p>
              </w:tc>
            </w:tr>
            <w:tr w:rsidR="003147AC" w:rsidRPr="001506E2" w:rsidTr="00AD52E7">
              <w:trPr>
                <w:trHeight w:val="547"/>
              </w:trPr>
              <w:tc>
                <w:tcPr>
                  <w:tcW w:w="1595"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尤松</w:t>
                  </w:r>
                </w:p>
              </w:tc>
              <w:tc>
                <w:tcPr>
                  <w:tcW w:w="3679"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润磁投资</w:t>
                  </w:r>
                </w:p>
              </w:tc>
              <w:tc>
                <w:tcPr>
                  <w:tcW w:w="1842" w:type="dxa"/>
                </w:tcPr>
                <w:p w:rsidR="003147AC" w:rsidRPr="001506E2" w:rsidRDefault="003147AC" w:rsidP="003147AC">
                  <w:pPr>
                    <w:spacing w:line="400" w:lineRule="exact"/>
                    <w:rPr>
                      <w:rFonts w:asciiTheme="minorEastAsia" w:eastAsiaTheme="minorEastAsia" w:hAnsiTheme="minorEastAsia" w:cs="宋体"/>
                      <w:color w:val="000000"/>
                      <w:sz w:val="24"/>
                      <w:szCs w:val="24"/>
                    </w:rPr>
                  </w:pPr>
                </w:p>
              </w:tc>
            </w:tr>
            <w:tr w:rsidR="003147AC" w:rsidRPr="001506E2" w:rsidTr="00AD52E7">
              <w:trPr>
                <w:trHeight w:val="547"/>
              </w:trPr>
              <w:tc>
                <w:tcPr>
                  <w:tcW w:w="1595"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季威</w:t>
                  </w:r>
                </w:p>
              </w:tc>
              <w:tc>
                <w:tcPr>
                  <w:tcW w:w="3679"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宏道投资</w:t>
                  </w:r>
                </w:p>
              </w:tc>
              <w:tc>
                <w:tcPr>
                  <w:tcW w:w="1842" w:type="dxa"/>
                </w:tcPr>
                <w:p w:rsidR="003147AC" w:rsidRPr="001506E2" w:rsidRDefault="003147AC" w:rsidP="003147AC">
                  <w:pPr>
                    <w:spacing w:line="400" w:lineRule="exact"/>
                    <w:rPr>
                      <w:rFonts w:asciiTheme="minorEastAsia" w:eastAsiaTheme="minorEastAsia" w:hAnsiTheme="minorEastAsia" w:cs="宋体"/>
                      <w:color w:val="000000"/>
                      <w:sz w:val="24"/>
                      <w:szCs w:val="24"/>
                    </w:rPr>
                  </w:pPr>
                </w:p>
              </w:tc>
            </w:tr>
            <w:tr w:rsidR="003147AC" w:rsidRPr="001506E2" w:rsidTr="00AD52E7">
              <w:trPr>
                <w:trHeight w:val="547"/>
              </w:trPr>
              <w:tc>
                <w:tcPr>
                  <w:tcW w:w="1595"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单慧金</w:t>
                  </w:r>
                </w:p>
              </w:tc>
              <w:tc>
                <w:tcPr>
                  <w:tcW w:w="3679"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灿祤投资</w:t>
                  </w:r>
                </w:p>
              </w:tc>
              <w:tc>
                <w:tcPr>
                  <w:tcW w:w="1842" w:type="dxa"/>
                </w:tcPr>
                <w:p w:rsidR="003147AC" w:rsidRPr="001506E2" w:rsidRDefault="003147AC" w:rsidP="003147AC">
                  <w:pPr>
                    <w:spacing w:line="400" w:lineRule="exact"/>
                    <w:rPr>
                      <w:rFonts w:asciiTheme="minorEastAsia" w:eastAsiaTheme="minorEastAsia" w:hAnsiTheme="minorEastAsia" w:cs="宋体"/>
                      <w:color w:val="000000"/>
                      <w:sz w:val="24"/>
                      <w:szCs w:val="24"/>
                    </w:rPr>
                  </w:pPr>
                </w:p>
              </w:tc>
            </w:tr>
            <w:tr w:rsidR="003147AC" w:rsidRPr="001506E2" w:rsidTr="00AD52E7">
              <w:trPr>
                <w:trHeight w:val="547"/>
              </w:trPr>
              <w:tc>
                <w:tcPr>
                  <w:tcW w:w="1595"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刘卓宇</w:t>
                  </w:r>
                </w:p>
              </w:tc>
              <w:tc>
                <w:tcPr>
                  <w:tcW w:w="3679"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光大证券</w:t>
                  </w:r>
                </w:p>
              </w:tc>
              <w:tc>
                <w:tcPr>
                  <w:tcW w:w="1842" w:type="dxa"/>
                </w:tcPr>
                <w:p w:rsidR="003147AC" w:rsidRPr="001506E2" w:rsidRDefault="003147AC" w:rsidP="003147AC">
                  <w:pPr>
                    <w:spacing w:line="400" w:lineRule="exact"/>
                    <w:rPr>
                      <w:rFonts w:asciiTheme="minorEastAsia" w:eastAsiaTheme="minorEastAsia" w:hAnsiTheme="minorEastAsia" w:cs="宋体"/>
                      <w:color w:val="000000"/>
                      <w:sz w:val="24"/>
                      <w:szCs w:val="24"/>
                    </w:rPr>
                  </w:pPr>
                </w:p>
              </w:tc>
            </w:tr>
            <w:tr w:rsidR="003147AC" w:rsidRPr="001506E2" w:rsidTr="00AD52E7">
              <w:trPr>
                <w:trHeight w:val="547"/>
              </w:trPr>
              <w:tc>
                <w:tcPr>
                  <w:tcW w:w="1595"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钟丹心</w:t>
                  </w:r>
                </w:p>
              </w:tc>
              <w:tc>
                <w:tcPr>
                  <w:tcW w:w="3679" w:type="dxa"/>
                  <w:vAlign w:val="center"/>
                </w:tcPr>
                <w:p w:rsidR="003147AC" w:rsidRPr="003147AC" w:rsidRDefault="003147AC" w:rsidP="003147AC">
                  <w:pPr>
                    <w:jc w:val="center"/>
                    <w:rPr>
                      <w:rFonts w:asciiTheme="minorEastAsia" w:eastAsiaTheme="minorEastAsia" w:hAnsiTheme="minorEastAsia" w:cs="宋体"/>
                      <w:sz w:val="24"/>
                      <w:szCs w:val="24"/>
                    </w:rPr>
                  </w:pPr>
                  <w:r w:rsidRPr="003147AC">
                    <w:rPr>
                      <w:rFonts w:asciiTheme="minorEastAsia" w:eastAsiaTheme="minorEastAsia" w:hAnsiTheme="minorEastAsia" w:cs="宋体" w:hint="eastAsia"/>
                      <w:sz w:val="24"/>
                      <w:szCs w:val="24"/>
                    </w:rPr>
                    <w:t>财达证券</w:t>
                  </w:r>
                </w:p>
              </w:tc>
              <w:tc>
                <w:tcPr>
                  <w:tcW w:w="1842" w:type="dxa"/>
                </w:tcPr>
                <w:p w:rsidR="003147AC" w:rsidRPr="001506E2" w:rsidRDefault="003147AC" w:rsidP="003147AC">
                  <w:pPr>
                    <w:spacing w:line="400" w:lineRule="exact"/>
                    <w:rPr>
                      <w:rFonts w:asciiTheme="minorEastAsia" w:eastAsiaTheme="minorEastAsia" w:hAnsiTheme="minorEastAsia" w:cs="宋体"/>
                      <w:color w:val="000000"/>
                      <w:sz w:val="24"/>
                      <w:szCs w:val="24"/>
                    </w:rPr>
                  </w:pPr>
                </w:p>
              </w:tc>
            </w:tr>
          </w:tbl>
          <w:p w:rsidR="003D2C5D" w:rsidRPr="001506E2" w:rsidRDefault="003D2C5D" w:rsidP="001506E2">
            <w:pPr>
              <w:spacing w:line="400" w:lineRule="exact"/>
              <w:rPr>
                <w:rFonts w:asciiTheme="minorEastAsia" w:eastAsiaTheme="minorEastAsia" w:hAnsiTheme="minorEastAsia"/>
                <w:color w:val="000000"/>
                <w:sz w:val="24"/>
                <w:szCs w:val="24"/>
              </w:rPr>
            </w:pPr>
          </w:p>
        </w:tc>
      </w:tr>
      <w:tr w:rsidR="003D2C5D" w:rsidRPr="001506E2" w:rsidTr="001506E2">
        <w:trPr>
          <w:trHeight w:val="1177"/>
        </w:trPr>
        <w:tc>
          <w:tcPr>
            <w:tcW w:w="1702" w:type="dxa"/>
          </w:tcPr>
          <w:p w:rsidR="00B4691A" w:rsidRPr="001506E2" w:rsidRDefault="003D2C5D" w:rsidP="001506E2">
            <w:pPr>
              <w:spacing w:line="400" w:lineRule="exact"/>
              <w:jc w:val="center"/>
              <w:rPr>
                <w:rFonts w:asciiTheme="minorEastAsia" w:eastAsiaTheme="minorEastAsia" w:hAnsiTheme="minorEastAsia" w:cs="宋体"/>
                <w:b/>
                <w:color w:val="000000"/>
                <w:sz w:val="24"/>
                <w:szCs w:val="24"/>
              </w:rPr>
            </w:pPr>
            <w:r w:rsidRPr="001506E2">
              <w:rPr>
                <w:rFonts w:asciiTheme="minorEastAsia" w:eastAsiaTheme="minorEastAsia" w:hAnsiTheme="minorEastAsia" w:cs="宋体" w:hint="eastAsia"/>
                <w:b/>
                <w:color w:val="000000"/>
                <w:sz w:val="24"/>
                <w:szCs w:val="24"/>
              </w:rPr>
              <w:t>接待投资者</w:t>
            </w:r>
          </w:p>
          <w:p w:rsidR="003D2C5D" w:rsidRPr="001506E2" w:rsidRDefault="003D2C5D" w:rsidP="001506E2">
            <w:pPr>
              <w:spacing w:line="400" w:lineRule="exact"/>
              <w:jc w:val="center"/>
              <w:rPr>
                <w:rFonts w:asciiTheme="minorEastAsia" w:eastAsiaTheme="minorEastAsia" w:hAnsiTheme="minorEastAsia"/>
                <w:b/>
                <w:color w:val="000000"/>
                <w:sz w:val="24"/>
                <w:szCs w:val="24"/>
              </w:rPr>
            </w:pPr>
            <w:r w:rsidRPr="001506E2">
              <w:rPr>
                <w:rFonts w:asciiTheme="minorEastAsia" w:eastAsiaTheme="minorEastAsia" w:hAnsiTheme="minorEastAsia" w:cs="宋体" w:hint="eastAsia"/>
                <w:b/>
                <w:color w:val="000000"/>
                <w:sz w:val="24"/>
                <w:szCs w:val="24"/>
              </w:rPr>
              <w:t>方式</w:t>
            </w:r>
          </w:p>
          <w:p w:rsidR="003D2C5D" w:rsidRPr="001506E2" w:rsidRDefault="003D2C5D" w:rsidP="001506E2">
            <w:pPr>
              <w:spacing w:line="400" w:lineRule="exact"/>
              <w:jc w:val="center"/>
              <w:rPr>
                <w:rFonts w:asciiTheme="minorEastAsia" w:eastAsiaTheme="minorEastAsia" w:hAnsiTheme="minorEastAsia"/>
                <w:b/>
                <w:color w:val="000000"/>
                <w:sz w:val="24"/>
                <w:szCs w:val="24"/>
              </w:rPr>
            </w:pPr>
          </w:p>
        </w:tc>
        <w:tc>
          <w:tcPr>
            <w:tcW w:w="7371" w:type="dxa"/>
            <w:gridSpan w:val="3"/>
          </w:tcPr>
          <w:p w:rsidR="003D2C5D" w:rsidRPr="001506E2" w:rsidRDefault="003D2C5D" w:rsidP="001506E2">
            <w:pPr>
              <w:spacing w:line="400" w:lineRule="exact"/>
              <w:rPr>
                <w:rFonts w:asciiTheme="minorEastAsia" w:eastAsiaTheme="minorEastAsia" w:hAnsiTheme="minorEastAsia"/>
                <w:color w:val="000000"/>
                <w:sz w:val="24"/>
                <w:szCs w:val="24"/>
              </w:rPr>
            </w:pP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特定对象调研</w:t>
            </w:r>
            <w:r w:rsidRPr="001506E2">
              <w:rPr>
                <w:rFonts w:asciiTheme="minorEastAsia" w:eastAsiaTheme="minorEastAsia" w:hAnsiTheme="minorEastAsia" w:cs="宋体"/>
                <w:sz w:val="24"/>
                <w:szCs w:val="24"/>
              </w:rPr>
              <w:t xml:space="preserve"> </w:t>
            </w:r>
            <w:r w:rsidR="001506E2" w:rsidRPr="001506E2">
              <w:rPr>
                <w:rFonts w:asciiTheme="minorEastAsia" w:eastAsiaTheme="minorEastAsia" w:hAnsiTheme="minorEastAsia" w:cs="宋体" w:hint="eastAsia"/>
                <w:sz w:val="24"/>
                <w:szCs w:val="24"/>
              </w:rPr>
              <w:t xml:space="preserve"> </w:t>
            </w:r>
            <w:r w:rsidRPr="001506E2">
              <w:rPr>
                <w:rFonts w:asciiTheme="minorEastAsia" w:eastAsiaTheme="minorEastAsia" w:hAnsiTheme="minorEastAsia" w:cs="宋体"/>
                <w:sz w:val="24"/>
                <w:szCs w:val="24"/>
              </w:rPr>
              <w:t xml:space="preserve"> </w:t>
            </w: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分析师会议</w:t>
            </w:r>
            <w:r w:rsidR="001506E2">
              <w:rPr>
                <w:rFonts w:asciiTheme="minorEastAsia" w:eastAsiaTheme="minorEastAsia" w:hAnsiTheme="minorEastAsia" w:cs="宋体" w:hint="eastAsia"/>
                <w:sz w:val="24"/>
                <w:szCs w:val="24"/>
              </w:rPr>
              <w:t xml:space="preserve">   </w:t>
            </w: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媒体采访</w:t>
            </w:r>
            <w:r w:rsidRPr="001506E2">
              <w:rPr>
                <w:rFonts w:asciiTheme="minorEastAsia" w:eastAsiaTheme="minorEastAsia" w:hAnsiTheme="minorEastAsia" w:cs="宋体"/>
                <w:sz w:val="24"/>
                <w:szCs w:val="24"/>
              </w:rPr>
              <w:t xml:space="preserve">   </w:t>
            </w: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业绩说明会</w:t>
            </w:r>
          </w:p>
          <w:p w:rsidR="003D2C5D" w:rsidRPr="001506E2" w:rsidRDefault="003D2C5D" w:rsidP="001506E2">
            <w:pPr>
              <w:spacing w:line="400" w:lineRule="exact"/>
              <w:rPr>
                <w:rFonts w:asciiTheme="minorEastAsia" w:eastAsiaTheme="minorEastAsia" w:hAnsiTheme="minorEastAsia"/>
                <w:color w:val="000000"/>
                <w:sz w:val="24"/>
                <w:szCs w:val="24"/>
              </w:rPr>
            </w:pP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新闻发布会</w:t>
            </w:r>
            <w:r w:rsidRPr="001506E2">
              <w:rPr>
                <w:rFonts w:asciiTheme="minorEastAsia" w:eastAsiaTheme="minorEastAsia" w:hAnsiTheme="minorEastAsia" w:cs="宋体"/>
                <w:sz w:val="24"/>
                <w:szCs w:val="24"/>
              </w:rPr>
              <w:t xml:space="preserve">     </w:t>
            </w:r>
            <w:r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路演活动</w:t>
            </w:r>
            <w:r w:rsidR="001506E2">
              <w:rPr>
                <w:rFonts w:asciiTheme="minorEastAsia" w:eastAsiaTheme="minorEastAsia" w:hAnsiTheme="minorEastAsia" w:cs="宋体" w:hint="eastAsia"/>
                <w:sz w:val="24"/>
                <w:szCs w:val="24"/>
              </w:rPr>
              <w:t xml:space="preserve">     </w:t>
            </w:r>
            <w:r w:rsidR="003147AC" w:rsidRPr="001506E2">
              <w:rPr>
                <w:rFonts w:asciiTheme="minorEastAsia" w:eastAsiaTheme="minorEastAsia" w:hAnsiTheme="minorEastAsia" w:cs="宋体" w:hint="eastAsia"/>
                <w:color w:val="000000"/>
                <w:sz w:val="24"/>
                <w:szCs w:val="24"/>
              </w:rPr>
              <w:t>□</w:t>
            </w:r>
            <w:r w:rsidRPr="001506E2">
              <w:rPr>
                <w:rFonts w:asciiTheme="minorEastAsia" w:eastAsiaTheme="minorEastAsia" w:hAnsiTheme="minorEastAsia" w:cs="宋体" w:hint="eastAsia"/>
                <w:sz w:val="24"/>
                <w:szCs w:val="24"/>
              </w:rPr>
              <w:t>现场</w:t>
            </w:r>
            <w:r w:rsidR="00B4691A" w:rsidRPr="001506E2">
              <w:rPr>
                <w:rFonts w:asciiTheme="minorEastAsia" w:eastAsiaTheme="minorEastAsia" w:hAnsiTheme="minorEastAsia" w:cs="宋体" w:hint="eastAsia"/>
                <w:sz w:val="24"/>
                <w:szCs w:val="24"/>
              </w:rPr>
              <w:t>接待</w:t>
            </w:r>
            <w:r w:rsidRPr="001506E2">
              <w:rPr>
                <w:rFonts w:asciiTheme="minorEastAsia" w:eastAsiaTheme="minorEastAsia" w:hAnsiTheme="minorEastAsia"/>
                <w:color w:val="000000"/>
                <w:sz w:val="24"/>
                <w:szCs w:val="24"/>
              </w:rPr>
              <w:tab/>
            </w:r>
          </w:p>
          <w:p w:rsidR="003D2C5D" w:rsidRPr="001506E2" w:rsidRDefault="00652788" w:rsidP="001506E2">
            <w:pPr>
              <w:tabs>
                <w:tab w:val="center" w:pos="3199"/>
              </w:tabs>
              <w:spacing w:line="400" w:lineRule="exact"/>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sz w:val="24"/>
                <w:szCs w:val="24"/>
                <w:shd w:val="pct15" w:color="auto" w:fill="FFFFFF"/>
              </w:rPr>
              <w:t>√</w:t>
            </w:r>
            <w:r w:rsidR="003D2C5D" w:rsidRPr="001506E2">
              <w:rPr>
                <w:rFonts w:asciiTheme="minorEastAsia" w:eastAsiaTheme="minorEastAsia" w:hAnsiTheme="minorEastAsia" w:cs="宋体" w:hint="eastAsia"/>
                <w:sz w:val="24"/>
                <w:szCs w:val="24"/>
              </w:rPr>
              <w:t>其他</w:t>
            </w:r>
            <w:r w:rsidR="003D2C5D" w:rsidRPr="001506E2">
              <w:rPr>
                <w:rFonts w:asciiTheme="minorEastAsia" w:eastAsiaTheme="minorEastAsia" w:hAnsiTheme="minorEastAsia" w:cs="宋体"/>
                <w:sz w:val="24"/>
                <w:szCs w:val="24"/>
              </w:rPr>
              <w:t xml:space="preserve"> </w:t>
            </w:r>
            <w:r w:rsidR="003D2C5D" w:rsidRPr="001506E2">
              <w:rPr>
                <w:rFonts w:asciiTheme="minorEastAsia" w:eastAsiaTheme="minorEastAsia" w:hAnsiTheme="minorEastAsia" w:cs="宋体" w:hint="eastAsia"/>
                <w:sz w:val="24"/>
                <w:szCs w:val="24"/>
              </w:rPr>
              <w:t>（</w:t>
            </w:r>
            <w:r w:rsidR="003D2C5D" w:rsidRPr="001506E2">
              <w:rPr>
                <w:rFonts w:asciiTheme="minorEastAsia" w:eastAsiaTheme="minorEastAsia" w:hAnsiTheme="minorEastAsia" w:cs="宋体"/>
                <w:sz w:val="24"/>
                <w:szCs w:val="24"/>
                <w:u w:val="single"/>
              </w:rPr>
              <w:t xml:space="preserve">           </w:t>
            </w:r>
            <w:r w:rsidR="003147AC">
              <w:rPr>
                <w:rFonts w:asciiTheme="minorEastAsia" w:eastAsiaTheme="minorEastAsia" w:hAnsiTheme="minorEastAsia" w:cs="宋体" w:hint="eastAsia"/>
                <w:sz w:val="24"/>
                <w:szCs w:val="24"/>
                <w:u w:val="single"/>
              </w:rPr>
              <w:t>电话会议</w:t>
            </w:r>
            <w:r w:rsidR="003D2C5D" w:rsidRPr="001506E2">
              <w:rPr>
                <w:rFonts w:asciiTheme="minorEastAsia" w:eastAsiaTheme="minorEastAsia" w:hAnsiTheme="minorEastAsia" w:cs="宋体"/>
                <w:sz w:val="24"/>
                <w:szCs w:val="24"/>
                <w:u w:val="single"/>
              </w:rPr>
              <w:t xml:space="preserve">                        </w:t>
            </w:r>
            <w:r w:rsidR="003D2C5D" w:rsidRPr="001506E2">
              <w:rPr>
                <w:rFonts w:asciiTheme="minorEastAsia" w:eastAsiaTheme="minorEastAsia" w:hAnsiTheme="minorEastAsia" w:cs="宋体" w:hint="eastAsia"/>
                <w:sz w:val="24"/>
                <w:szCs w:val="24"/>
                <w:u w:val="single"/>
              </w:rPr>
              <w:t>）</w:t>
            </w:r>
          </w:p>
        </w:tc>
      </w:tr>
      <w:tr w:rsidR="003D2C5D" w:rsidRPr="001506E2" w:rsidTr="003147AC">
        <w:trPr>
          <w:trHeight w:val="1266"/>
        </w:trPr>
        <w:tc>
          <w:tcPr>
            <w:tcW w:w="1702" w:type="dxa"/>
          </w:tcPr>
          <w:p w:rsidR="00251B74" w:rsidRDefault="00251B74" w:rsidP="003147AC">
            <w:pPr>
              <w:spacing w:line="400" w:lineRule="exact"/>
              <w:rPr>
                <w:rFonts w:asciiTheme="minorEastAsia" w:eastAsiaTheme="minorEastAsia" w:hAnsiTheme="minorEastAsia" w:cs="宋体"/>
                <w:b/>
                <w:color w:val="000000"/>
                <w:sz w:val="24"/>
                <w:szCs w:val="24"/>
              </w:rPr>
            </w:pPr>
          </w:p>
          <w:p w:rsidR="00B4691A" w:rsidRPr="001506E2" w:rsidRDefault="003D2C5D" w:rsidP="001506E2">
            <w:pPr>
              <w:spacing w:line="400" w:lineRule="exact"/>
              <w:jc w:val="center"/>
              <w:rPr>
                <w:rFonts w:asciiTheme="minorEastAsia" w:eastAsiaTheme="minorEastAsia" w:hAnsiTheme="minorEastAsia" w:cs="宋体"/>
                <w:b/>
                <w:color w:val="000000"/>
                <w:sz w:val="24"/>
                <w:szCs w:val="24"/>
              </w:rPr>
            </w:pPr>
            <w:r w:rsidRPr="001506E2">
              <w:rPr>
                <w:rFonts w:asciiTheme="minorEastAsia" w:eastAsiaTheme="minorEastAsia" w:hAnsiTheme="minorEastAsia" w:cs="宋体" w:hint="eastAsia"/>
                <w:b/>
                <w:color w:val="000000"/>
                <w:sz w:val="24"/>
                <w:szCs w:val="24"/>
              </w:rPr>
              <w:t>投资者</w:t>
            </w:r>
            <w:r w:rsidR="00B4691A" w:rsidRPr="001506E2">
              <w:rPr>
                <w:rFonts w:asciiTheme="minorEastAsia" w:eastAsiaTheme="minorEastAsia" w:hAnsiTheme="minorEastAsia" w:cs="宋体" w:hint="eastAsia"/>
                <w:b/>
                <w:color w:val="000000"/>
                <w:sz w:val="24"/>
                <w:szCs w:val="24"/>
              </w:rPr>
              <w:t>接待</w:t>
            </w:r>
          </w:p>
          <w:p w:rsidR="00B4691A" w:rsidRPr="001506E2" w:rsidRDefault="003D2C5D" w:rsidP="001506E2">
            <w:pPr>
              <w:spacing w:line="400" w:lineRule="exact"/>
              <w:jc w:val="center"/>
              <w:rPr>
                <w:rFonts w:asciiTheme="minorEastAsia" w:eastAsiaTheme="minorEastAsia" w:hAnsiTheme="minorEastAsia" w:cs="宋体"/>
                <w:b/>
                <w:color w:val="000000"/>
                <w:sz w:val="24"/>
                <w:szCs w:val="24"/>
              </w:rPr>
            </w:pPr>
            <w:r w:rsidRPr="001506E2">
              <w:rPr>
                <w:rFonts w:asciiTheme="minorEastAsia" w:eastAsiaTheme="minorEastAsia" w:hAnsiTheme="minorEastAsia" w:cs="宋体" w:hint="eastAsia"/>
                <w:b/>
                <w:color w:val="000000"/>
                <w:sz w:val="24"/>
                <w:szCs w:val="24"/>
              </w:rPr>
              <w:t>活动主要内</w:t>
            </w:r>
          </w:p>
          <w:p w:rsidR="003D2C5D" w:rsidRPr="001506E2" w:rsidRDefault="003D2C5D" w:rsidP="001506E2">
            <w:pPr>
              <w:spacing w:line="400" w:lineRule="exact"/>
              <w:jc w:val="center"/>
              <w:rPr>
                <w:rFonts w:asciiTheme="minorEastAsia" w:eastAsiaTheme="minorEastAsia" w:hAnsiTheme="minorEastAsia"/>
                <w:b/>
                <w:color w:val="000000"/>
                <w:sz w:val="24"/>
                <w:szCs w:val="24"/>
              </w:rPr>
            </w:pPr>
            <w:r w:rsidRPr="001506E2">
              <w:rPr>
                <w:rFonts w:asciiTheme="minorEastAsia" w:eastAsiaTheme="minorEastAsia" w:hAnsiTheme="minorEastAsia" w:cs="宋体" w:hint="eastAsia"/>
                <w:b/>
                <w:color w:val="000000"/>
                <w:sz w:val="24"/>
                <w:szCs w:val="24"/>
              </w:rPr>
              <w:t>容介绍</w:t>
            </w:r>
          </w:p>
        </w:tc>
        <w:tc>
          <w:tcPr>
            <w:tcW w:w="7371" w:type="dxa"/>
            <w:gridSpan w:val="3"/>
          </w:tcPr>
          <w:p w:rsidR="0079682B" w:rsidRDefault="0079682B" w:rsidP="0079682B">
            <w:pPr>
              <w:widowControl/>
              <w:spacing w:line="368" w:lineRule="atLeast"/>
              <w:jc w:val="center"/>
              <w:rPr>
                <w:rFonts w:ascii="Helvetica" w:hAnsi="Helvetica" w:cs="Helvetica"/>
                <w:b/>
                <w:bCs/>
                <w:color w:val="393939"/>
                <w:kern w:val="0"/>
              </w:rPr>
            </w:pPr>
          </w:p>
          <w:p w:rsidR="00C7362F" w:rsidRDefault="00C7362F" w:rsidP="00C7362F">
            <w:pPr>
              <w:rPr>
                <w:rFonts w:ascii="宋体" w:hAnsi="宋体"/>
                <w:b/>
                <w:sz w:val="24"/>
                <w:szCs w:val="24"/>
              </w:rPr>
            </w:pPr>
            <w:r>
              <w:rPr>
                <w:rFonts w:ascii="宋体" w:hAnsi="宋体" w:hint="eastAsia"/>
                <w:b/>
                <w:sz w:val="24"/>
                <w:szCs w:val="24"/>
              </w:rPr>
              <w:t>一、公司简介</w:t>
            </w:r>
          </w:p>
          <w:p w:rsidR="00C7362F" w:rsidRDefault="00C7362F" w:rsidP="00C7362F">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海越股份是以绿色能源投资与生产、石油化工品储运与贸易为主营的大型综合性能源商贸企业。目前，旗下拥有宁波海越、北方石油、海越资管。</w:t>
            </w:r>
          </w:p>
          <w:p w:rsidR="00C7362F" w:rsidRDefault="00C7362F" w:rsidP="005D1978">
            <w:pPr>
              <w:widowControl/>
              <w:spacing w:line="368" w:lineRule="atLeast"/>
              <w:ind w:firstLineChars="191" w:firstLine="458"/>
              <w:jc w:val="left"/>
              <w:rPr>
                <w:rFonts w:ascii="Helvetica" w:hAnsi="Helvetica" w:cs="Helvetica"/>
                <w:color w:val="393939"/>
                <w:kern w:val="0"/>
                <w:sz w:val="24"/>
                <w:szCs w:val="24"/>
              </w:rPr>
            </w:pPr>
            <w:r>
              <w:rPr>
                <w:rFonts w:ascii="Helvetica" w:hAnsi="Helvetica" w:cs="Helvetica" w:hint="eastAsia"/>
                <w:color w:val="393939"/>
                <w:kern w:val="0"/>
                <w:sz w:val="24"/>
                <w:szCs w:val="24"/>
              </w:rPr>
              <w:t>精细化工生产方面，主要为公司宁波海越。宁波海越拥有</w:t>
            </w:r>
            <w:r>
              <w:rPr>
                <w:rFonts w:ascii="Helvetica" w:hAnsi="Helvetica" w:cs="Helvetica"/>
                <w:color w:val="393939"/>
                <w:kern w:val="0"/>
                <w:sz w:val="24"/>
                <w:szCs w:val="24"/>
              </w:rPr>
              <w:t>60</w:t>
            </w:r>
            <w:r>
              <w:rPr>
                <w:rFonts w:ascii="Helvetica" w:hAnsi="Helvetica" w:cs="Helvetica" w:hint="eastAsia"/>
                <w:color w:val="393939"/>
                <w:kern w:val="0"/>
                <w:sz w:val="24"/>
                <w:szCs w:val="24"/>
              </w:rPr>
              <w:t>万吨</w:t>
            </w:r>
            <w:r>
              <w:rPr>
                <w:rFonts w:ascii="Helvetica" w:hAnsi="Helvetica" w:cs="Helvetica"/>
                <w:color w:val="393939"/>
                <w:kern w:val="0"/>
                <w:sz w:val="24"/>
                <w:szCs w:val="24"/>
              </w:rPr>
              <w:t>/</w:t>
            </w:r>
            <w:r>
              <w:rPr>
                <w:rFonts w:ascii="Helvetica" w:hAnsi="Helvetica" w:cs="Helvetica" w:hint="eastAsia"/>
                <w:color w:val="393939"/>
                <w:kern w:val="0"/>
                <w:sz w:val="24"/>
                <w:szCs w:val="24"/>
              </w:rPr>
              <w:t>年丙烷脱氢装置、</w:t>
            </w:r>
            <w:r>
              <w:rPr>
                <w:rFonts w:ascii="Helvetica" w:hAnsi="Helvetica" w:cs="Helvetica"/>
                <w:color w:val="393939"/>
                <w:kern w:val="0"/>
                <w:sz w:val="24"/>
                <w:szCs w:val="24"/>
              </w:rPr>
              <w:t>60</w:t>
            </w:r>
            <w:r>
              <w:rPr>
                <w:rFonts w:ascii="Helvetica" w:hAnsi="Helvetica" w:cs="Helvetica" w:hint="eastAsia"/>
                <w:color w:val="393939"/>
                <w:kern w:val="0"/>
                <w:sz w:val="24"/>
                <w:szCs w:val="24"/>
              </w:rPr>
              <w:t>万吨</w:t>
            </w:r>
            <w:r>
              <w:rPr>
                <w:rFonts w:ascii="Helvetica" w:hAnsi="Helvetica" w:cs="Helvetica"/>
                <w:color w:val="393939"/>
                <w:kern w:val="0"/>
                <w:sz w:val="24"/>
                <w:szCs w:val="24"/>
              </w:rPr>
              <w:t>/</w:t>
            </w:r>
            <w:r>
              <w:rPr>
                <w:rFonts w:ascii="Helvetica" w:hAnsi="Helvetica" w:cs="Helvetica" w:hint="eastAsia"/>
                <w:color w:val="393939"/>
                <w:kern w:val="0"/>
                <w:sz w:val="24"/>
                <w:szCs w:val="24"/>
              </w:rPr>
              <w:t>年异辛烷装置、</w:t>
            </w:r>
            <w:r>
              <w:rPr>
                <w:rFonts w:ascii="Helvetica" w:hAnsi="Helvetica" w:cs="Helvetica"/>
                <w:color w:val="393939"/>
                <w:kern w:val="0"/>
                <w:sz w:val="24"/>
                <w:szCs w:val="24"/>
              </w:rPr>
              <w:t>4</w:t>
            </w:r>
            <w:r>
              <w:rPr>
                <w:rFonts w:ascii="Helvetica" w:hAnsi="Helvetica" w:cs="Helvetica" w:hint="eastAsia"/>
                <w:color w:val="393939"/>
                <w:kern w:val="0"/>
                <w:sz w:val="24"/>
                <w:szCs w:val="24"/>
              </w:rPr>
              <w:t>万吨</w:t>
            </w:r>
            <w:r>
              <w:rPr>
                <w:rFonts w:ascii="Helvetica" w:hAnsi="Helvetica" w:cs="Helvetica"/>
                <w:color w:val="393939"/>
                <w:kern w:val="0"/>
                <w:sz w:val="24"/>
                <w:szCs w:val="24"/>
              </w:rPr>
              <w:t>/</w:t>
            </w:r>
            <w:r>
              <w:rPr>
                <w:rFonts w:ascii="Helvetica" w:hAnsi="Helvetica" w:cs="Helvetica" w:hint="eastAsia"/>
                <w:color w:val="393939"/>
                <w:kern w:val="0"/>
                <w:sz w:val="24"/>
                <w:szCs w:val="24"/>
              </w:rPr>
              <w:t>年甲乙酮装置、及宁波北仑港区</w:t>
            </w:r>
            <w:r>
              <w:rPr>
                <w:rFonts w:ascii="Helvetica" w:hAnsi="Helvetica" w:cs="Helvetica"/>
                <w:color w:val="393939"/>
                <w:kern w:val="0"/>
                <w:sz w:val="24"/>
                <w:szCs w:val="24"/>
              </w:rPr>
              <w:t>5</w:t>
            </w:r>
            <w:r>
              <w:rPr>
                <w:rFonts w:ascii="Helvetica" w:hAnsi="Helvetica" w:cs="Helvetica" w:hint="eastAsia"/>
                <w:color w:val="393939"/>
                <w:kern w:val="0"/>
                <w:sz w:val="24"/>
                <w:szCs w:val="24"/>
              </w:rPr>
              <w:t>万吨级专业石化码头，是全球单体规模最大</w:t>
            </w:r>
            <w:r w:rsidR="00652788">
              <w:rPr>
                <w:rFonts w:ascii="Helvetica" w:hAnsi="Helvetica" w:cs="Helvetica" w:hint="eastAsia"/>
                <w:color w:val="393939"/>
                <w:kern w:val="0"/>
                <w:sz w:val="24"/>
                <w:szCs w:val="24"/>
              </w:rPr>
              <w:t>、</w:t>
            </w:r>
            <w:r>
              <w:rPr>
                <w:rFonts w:ascii="Helvetica" w:hAnsi="Helvetica" w:cs="Helvetica" w:hint="eastAsia"/>
                <w:color w:val="393939"/>
                <w:kern w:val="0"/>
                <w:sz w:val="24"/>
                <w:szCs w:val="24"/>
              </w:rPr>
              <w:t>设备</w:t>
            </w:r>
            <w:r>
              <w:rPr>
                <w:rFonts w:ascii="Helvetica" w:hAnsi="Helvetica" w:cs="Helvetica" w:hint="eastAsia"/>
                <w:color w:val="393939"/>
                <w:kern w:val="0"/>
                <w:sz w:val="24"/>
                <w:szCs w:val="24"/>
              </w:rPr>
              <w:lastRenderedPageBreak/>
              <w:t>最先进的清洁汽油添加剂—异辛烷生产基地和江浙地区单体规模最大的高端石化产品—丙烯产销基地，其中异辛烷产量连续多年稳居市场第一，是行业标准的引领者。</w:t>
            </w:r>
          </w:p>
          <w:p w:rsidR="00C7362F" w:rsidRDefault="00C7362F" w:rsidP="00C7362F">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石油化工品储运与贸易业务方面：主营原油、成品油及化工产品的仓储、贸易、销售，拥有较为齐备的市场准入和运营资质。旗下北方石油在天津港建有年周转量逾千万吨的</w:t>
            </w:r>
            <w:r>
              <w:rPr>
                <w:rFonts w:ascii="Helvetica" w:hAnsi="Helvetica" w:cs="Helvetica"/>
                <w:color w:val="393939"/>
                <w:kern w:val="0"/>
                <w:sz w:val="24"/>
                <w:szCs w:val="24"/>
              </w:rPr>
              <w:t>5</w:t>
            </w:r>
            <w:r>
              <w:rPr>
                <w:rFonts w:ascii="Helvetica" w:hAnsi="Helvetica" w:cs="Helvetica" w:hint="eastAsia"/>
                <w:color w:val="393939"/>
                <w:kern w:val="0"/>
                <w:sz w:val="24"/>
                <w:szCs w:val="24"/>
              </w:rPr>
              <w:t>万吨级专业石化码头和</w:t>
            </w:r>
            <w:r>
              <w:rPr>
                <w:rFonts w:ascii="Helvetica" w:hAnsi="Helvetica" w:cs="Helvetica"/>
                <w:color w:val="393939"/>
                <w:kern w:val="0"/>
                <w:sz w:val="24"/>
                <w:szCs w:val="24"/>
              </w:rPr>
              <w:t>85</w:t>
            </w:r>
            <w:r>
              <w:rPr>
                <w:rFonts w:ascii="Helvetica" w:hAnsi="Helvetica" w:cs="Helvetica" w:hint="eastAsia"/>
                <w:color w:val="393939"/>
                <w:kern w:val="0"/>
                <w:sz w:val="24"/>
                <w:szCs w:val="24"/>
              </w:rPr>
              <w:t>万立方米的原油、成品油及化工产品库区，是中国北方地区商业规模较大、设施先进、配套完善的石油化工储运基地；在诸暨境内拥有</w:t>
            </w:r>
            <w:r>
              <w:rPr>
                <w:rFonts w:ascii="Helvetica" w:hAnsi="Helvetica" w:cs="Helvetica"/>
                <w:color w:val="393939"/>
                <w:kern w:val="0"/>
                <w:sz w:val="24"/>
                <w:szCs w:val="24"/>
              </w:rPr>
              <w:t>5.2</w:t>
            </w:r>
            <w:r>
              <w:rPr>
                <w:rFonts w:ascii="Helvetica" w:hAnsi="Helvetica" w:cs="Helvetica" w:hint="eastAsia"/>
                <w:color w:val="393939"/>
                <w:kern w:val="0"/>
                <w:sz w:val="24"/>
                <w:szCs w:val="24"/>
              </w:rPr>
              <w:t>万吨成品油库、</w:t>
            </w:r>
            <w:r>
              <w:rPr>
                <w:rFonts w:ascii="Helvetica" w:hAnsi="Helvetica" w:cs="Helvetica"/>
                <w:color w:val="393939"/>
                <w:kern w:val="0"/>
                <w:sz w:val="24"/>
                <w:szCs w:val="24"/>
              </w:rPr>
              <w:t>2200</w:t>
            </w:r>
            <w:r>
              <w:rPr>
                <w:rFonts w:ascii="Helvetica" w:hAnsi="Helvetica" w:cs="Helvetica" w:hint="eastAsia"/>
                <w:color w:val="393939"/>
                <w:kern w:val="0"/>
                <w:sz w:val="24"/>
                <w:szCs w:val="24"/>
              </w:rPr>
              <w:t>立方液化气库、</w:t>
            </w:r>
            <w:r>
              <w:rPr>
                <w:rFonts w:ascii="Helvetica" w:hAnsi="Helvetica" w:cs="Helvetica"/>
                <w:color w:val="393939"/>
                <w:kern w:val="0"/>
                <w:sz w:val="24"/>
                <w:szCs w:val="24"/>
              </w:rPr>
              <w:t>500</w:t>
            </w:r>
            <w:r>
              <w:rPr>
                <w:rFonts w:ascii="Helvetica" w:hAnsi="Helvetica" w:cs="Helvetica" w:hint="eastAsia"/>
                <w:color w:val="393939"/>
                <w:kern w:val="0"/>
                <w:sz w:val="24"/>
                <w:szCs w:val="24"/>
              </w:rPr>
              <w:t>吨级的成品油运输码头、</w:t>
            </w:r>
            <w:r>
              <w:rPr>
                <w:rFonts w:ascii="Helvetica" w:hAnsi="Helvetica" w:cs="Helvetica"/>
                <w:color w:val="393939"/>
                <w:kern w:val="0"/>
                <w:sz w:val="24"/>
                <w:szCs w:val="24"/>
              </w:rPr>
              <w:t>1</w:t>
            </w:r>
            <w:r w:rsidR="00207EB7">
              <w:rPr>
                <w:rFonts w:ascii="Helvetica" w:hAnsi="Helvetica" w:cs="Helvetica" w:hint="eastAsia"/>
                <w:color w:val="393939"/>
                <w:kern w:val="0"/>
                <w:sz w:val="24"/>
                <w:szCs w:val="24"/>
              </w:rPr>
              <w:t>1</w:t>
            </w:r>
            <w:r>
              <w:rPr>
                <w:rFonts w:ascii="Helvetica" w:hAnsi="Helvetica" w:cs="Helvetica" w:hint="eastAsia"/>
                <w:color w:val="393939"/>
                <w:kern w:val="0"/>
                <w:sz w:val="24"/>
                <w:szCs w:val="24"/>
              </w:rPr>
              <w:t>座加油站，以及</w:t>
            </w:r>
            <w:r>
              <w:rPr>
                <w:rFonts w:ascii="Helvetica" w:hAnsi="Helvetica" w:cs="Helvetica"/>
                <w:color w:val="393939"/>
                <w:kern w:val="0"/>
                <w:sz w:val="24"/>
                <w:szCs w:val="24"/>
              </w:rPr>
              <w:t>2</w:t>
            </w:r>
            <w:r>
              <w:rPr>
                <w:rFonts w:ascii="Helvetica" w:hAnsi="Helvetica" w:cs="Helvetica" w:hint="eastAsia"/>
                <w:color w:val="393939"/>
                <w:kern w:val="0"/>
                <w:sz w:val="24"/>
                <w:szCs w:val="24"/>
              </w:rPr>
              <w:t>条石油专用铁路线，业务辐射国内沿海地区，是浙江省民营油品经营的龙头企业之一。北方石油是去年</w:t>
            </w:r>
            <w:r>
              <w:rPr>
                <w:rFonts w:ascii="Helvetica" w:hAnsi="Helvetica" w:cs="Helvetica"/>
                <w:color w:val="393939"/>
                <w:kern w:val="0"/>
                <w:sz w:val="24"/>
                <w:szCs w:val="24"/>
              </w:rPr>
              <w:t>2017</w:t>
            </w:r>
            <w:r>
              <w:rPr>
                <w:rFonts w:ascii="Helvetica" w:hAnsi="Helvetica" w:cs="Helvetica" w:hint="eastAsia"/>
                <w:color w:val="393939"/>
                <w:kern w:val="0"/>
                <w:sz w:val="24"/>
                <w:szCs w:val="24"/>
              </w:rPr>
              <w:t>年</w:t>
            </w:r>
            <w:r>
              <w:rPr>
                <w:rFonts w:ascii="Helvetica" w:hAnsi="Helvetica" w:cs="Helvetica"/>
                <w:color w:val="393939"/>
                <w:kern w:val="0"/>
                <w:sz w:val="24"/>
                <w:szCs w:val="24"/>
              </w:rPr>
              <w:t>11</w:t>
            </w:r>
            <w:r>
              <w:rPr>
                <w:rFonts w:ascii="Helvetica" w:hAnsi="Helvetica" w:cs="Helvetica" w:hint="eastAsia"/>
                <w:color w:val="393939"/>
                <w:kern w:val="0"/>
                <w:sz w:val="24"/>
                <w:szCs w:val="24"/>
              </w:rPr>
              <w:t>月份完成了资产的注入，</w:t>
            </w:r>
            <w:r>
              <w:rPr>
                <w:rFonts w:ascii="Helvetica" w:hAnsi="Helvetica" w:cs="Helvetica"/>
                <w:color w:val="393939"/>
                <w:kern w:val="0"/>
                <w:sz w:val="24"/>
                <w:szCs w:val="24"/>
              </w:rPr>
              <w:t>2017</w:t>
            </w:r>
            <w:r>
              <w:rPr>
                <w:rFonts w:ascii="Helvetica" w:hAnsi="Helvetica" w:cs="Helvetica" w:hint="eastAsia"/>
                <w:color w:val="393939"/>
                <w:kern w:val="0"/>
                <w:sz w:val="24"/>
                <w:szCs w:val="24"/>
              </w:rPr>
              <w:t>年、</w:t>
            </w:r>
            <w:r>
              <w:rPr>
                <w:rFonts w:ascii="Helvetica" w:hAnsi="Helvetica" w:cs="Helvetica"/>
                <w:color w:val="393939"/>
                <w:kern w:val="0"/>
                <w:sz w:val="24"/>
                <w:szCs w:val="24"/>
              </w:rPr>
              <w:t>2018</w:t>
            </w:r>
            <w:r>
              <w:rPr>
                <w:rFonts w:ascii="Helvetica" w:hAnsi="Helvetica" w:cs="Helvetica" w:hint="eastAsia"/>
                <w:color w:val="393939"/>
                <w:kern w:val="0"/>
                <w:sz w:val="24"/>
                <w:szCs w:val="24"/>
              </w:rPr>
              <w:t>年、</w:t>
            </w:r>
            <w:r>
              <w:rPr>
                <w:rFonts w:ascii="Helvetica" w:hAnsi="Helvetica" w:cs="Helvetica"/>
                <w:color w:val="393939"/>
                <w:kern w:val="0"/>
                <w:sz w:val="24"/>
                <w:szCs w:val="24"/>
              </w:rPr>
              <w:t>2019</w:t>
            </w:r>
            <w:r>
              <w:rPr>
                <w:rFonts w:ascii="Helvetica" w:hAnsi="Helvetica" w:cs="Helvetica" w:hint="eastAsia"/>
                <w:color w:val="393939"/>
                <w:kern w:val="0"/>
                <w:sz w:val="24"/>
                <w:szCs w:val="24"/>
              </w:rPr>
              <w:t>年承诺净利润分别为</w:t>
            </w:r>
            <w:r>
              <w:rPr>
                <w:rFonts w:ascii="Helvetica" w:hAnsi="Helvetica" w:cs="Helvetica"/>
                <w:color w:val="393939"/>
                <w:kern w:val="0"/>
                <w:sz w:val="24"/>
                <w:szCs w:val="24"/>
              </w:rPr>
              <w:t>0.68</w:t>
            </w:r>
            <w:r>
              <w:rPr>
                <w:rFonts w:ascii="Helvetica" w:hAnsi="Helvetica" w:cs="Helvetica" w:hint="eastAsia"/>
                <w:color w:val="393939"/>
                <w:kern w:val="0"/>
                <w:sz w:val="24"/>
                <w:szCs w:val="24"/>
              </w:rPr>
              <w:t>亿元、</w:t>
            </w:r>
            <w:r>
              <w:rPr>
                <w:rFonts w:ascii="Helvetica" w:hAnsi="Helvetica" w:cs="Helvetica"/>
                <w:color w:val="393939"/>
                <w:kern w:val="0"/>
                <w:sz w:val="24"/>
                <w:szCs w:val="24"/>
              </w:rPr>
              <w:t>1</w:t>
            </w:r>
            <w:r>
              <w:rPr>
                <w:rFonts w:ascii="Helvetica" w:hAnsi="Helvetica" w:cs="Helvetica" w:hint="eastAsia"/>
                <w:color w:val="393939"/>
                <w:kern w:val="0"/>
                <w:sz w:val="24"/>
                <w:szCs w:val="24"/>
              </w:rPr>
              <w:t>亿元和</w:t>
            </w:r>
            <w:r>
              <w:rPr>
                <w:rFonts w:ascii="Helvetica" w:hAnsi="Helvetica" w:cs="Helvetica"/>
                <w:color w:val="393939"/>
                <w:kern w:val="0"/>
                <w:sz w:val="24"/>
                <w:szCs w:val="24"/>
              </w:rPr>
              <w:t>1.2</w:t>
            </w:r>
            <w:r>
              <w:rPr>
                <w:rFonts w:ascii="Helvetica" w:hAnsi="Helvetica" w:cs="Helvetica" w:hint="eastAsia"/>
                <w:color w:val="393939"/>
                <w:kern w:val="0"/>
                <w:sz w:val="24"/>
                <w:szCs w:val="24"/>
              </w:rPr>
              <w:t>亿元。其中，</w:t>
            </w:r>
            <w:r>
              <w:rPr>
                <w:rFonts w:ascii="Helvetica" w:hAnsi="Helvetica" w:cs="Helvetica"/>
                <w:color w:val="393939"/>
                <w:kern w:val="0"/>
                <w:sz w:val="24"/>
                <w:szCs w:val="24"/>
              </w:rPr>
              <w:t>2017</w:t>
            </w:r>
            <w:r>
              <w:rPr>
                <w:rFonts w:ascii="Helvetica" w:hAnsi="Helvetica" w:cs="Helvetica" w:hint="eastAsia"/>
                <w:color w:val="393939"/>
                <w:kern w:val="0"/>
                <w:sz w:val="24"/>
                <w:szCs w:val="24"/>
              </w:rPr>
              <w:t>年全年实现收入</w:t>
            </w:r>
            <w:r>
              <w:rPr>
                <w:rFonts w:ascii="Helvetica" w:hAnsi="Helvetica" w:cs="Helvetica"/>
                <w:color w:val="393939"/>
                <w:kern w:val="0"/>
                <w:sz w:val="24"/>
                <w:szCs w:val="24"/>
              </w:rPr>
              <w:t xml:space="preserve"> 110.69 </w:t>
            </w:r>
            <w:r>
              <w:rPr>
                <w:rFonts w:ascii="Helvetica" w:hAnsi="Helvetica" w:cs="Helvetica" w:hint="eastAsia"/>
                <w:color w:val="393939"/>
                <w:kern w:val="0"/>
                <w:sz w:val="24"/>
                <w:szCs w:val="24"/>
              </w:rPr>
              <w:t>亿元，同比增长</w:t>
            </w:r>
            <w:r>
              <w:rPr>
                <w:rFonts w:ascii="Helvetica" w:hAnsi="Helvetica" w:cs="Helvetica"/>
                <w:color w:val="393939"/>
                <w:kern w:val="0"/>
                <w:sz w:val="24"/>
                <w:szCs w:val="24"/>
              </w:rPr>
              <w:t xml:space="preserve"> 292.52%</w:t>
            </w:r>
            <w:r>
              <w:rPr>
                <w:rFonts w:ascii="Helvetica" w:hAnsi="Helvetica" w:cs="Helvetica" w:hint="eastAsia"/>
                <w:color w:val="393939"/>
                <w:kern w:val="0"/>
                <w:sz w:val="24"/>
                <w:szCs w:val="24"/>
              </w:rPr>
              <w:t>；实现净利润</w:t>
            </w:r>
            <w:r>
              <w:rPr>
                <w:rFonts w:ascii="Helvetica" w:hAnsi="Helvetica" w:cs="Helvetica"/>
                <w:color w:val="393939"/>
                <w:kern w:val="0"/>
                <w:sz w:val="24"/>
                <w:szCs w:val="24"/>
              </w:rPr>
              <w:t xml:space="preserve"> 9,414.13 </w:t>
            </w:r>
            <w:r>
              <w:rPr>
                <w:rFonts w:ascii="Helvetica" w:hAnsi="Helvetica" w:cs="Helvetica" w:hint="eastAsia"/>
                <w:color w:val="393939"/>
                <w:kern w:val="0"/>
                <w:sz w:val="24"/>
                <w:szCs w:val="24"/>
              </w:rPr>
              <w:t>万元，同比增长</w:t>
            </w:r>
            <w:r>
              <w:rPr>
                <w:rFonts w:ascii="Helvetica" w:hAnsi="Helvetica" w:cs="Helvetica"/>
                <w:color w:val="393939"/>
                <w:kern w:val="0"/>
                <w:sz w:val="24"/>
                <w:szCs w:val="24"/>
              </w:rPr>
              <w:t xml:space="preserve"> 243.71%</w:t>
            </w:r>
            <w:r>
              <w:rPr>
                <w:rFonts w:ascii="Helvetica" w:hAnsi="Helvetica" w:cs="Helvetica" w:hint="eastAsia"/>
                <w:color w:val="393939"/>
                <w:kern w:val="0"/>
                <w:sz w:val="24"/>
                <w:szCs w:val="24"/>
              </w:rPr>
              <w:t>。</w:t>
            </w:r>
          </w:p>
          <w:p w:rsidR="00C7362F" w:rsidRDefault="00C7362F" w:rsidP="00C7362F">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投资方面：海越资管于</w:t>
            </w:r>
            <w:r>
              <w:rPr>
                <w:rFonts w:ascii="Helvetica" w:hAnsi="Helvetica" w:cs="Helvetica"/>
                <w:color w:val="393939"/>
                <w:kern w:val="0"/>
                <w:sz w:val="24"/>
                <w:szCs w:val="24"/>
              </w:rPr>
              <w:t>2017</w:t>
            </w:r>
            <w:r>
              <w:rPr>
                <w:rFonts w:ascii="Helvetica" w:hAnsi="Helvetica" w:cs="Helvetica" w:hint="eastAsia"/>
                <w:color w:val="393939"/>
                <w:kern w:val="0"/>
                <w:sz w:val="24"/>
                <w:szCs w:val="24"/>
              </w:rPr>
              <w:t>年</w:t>
            </w:r>
            <w:r>
              <w:rPr>
                <w:rFonts w:ascii="Helvetica" w:hAnsi="Helvetica" w:cs="Helvetica"/>
                <w:color w:val="393939"/>
                <w:kern w:val="0"/>
                <w:sz w:val="24"/>
                <w:szCs w:val="24"/>
              </w:rPr>
              <w:t>12</w:t>
            </w:r>
            <w:r>
              <w:rPr>
                <w:rFonts w:ascii="Helvetica" w:hAnsi="Helvetica" w:cs="Helvetica" w:hint="eastAsia"/>
                <w:color w:val="393939"/>
                <w:kern w:val="0"/>
                <w:sz w:val="24"/>
                <w:szCs w:val="24"/>
              </w:rPr>
              <w:t>月完成私募基金管理人登记，已成为可开展私募证券投资、股权投资、创业投资等私募基金业务的金融机构，是海越股份实现在能源投资领域做大做强的重要支持力量。从创投项目及参股基金的整体趋势来看，</w:t>
            </w:r>
            <w:r>
              <w:rPr>
                <w:rFonts w:ascii="Helvetica" w:hAnsi="Helvetica" w:cs="Helvetica"/>
                <w:color w:val="393939"/>
                <w:kern w:val="0"/>
                <w:sz w:val="24"/>
                <w:szCs w:val="24"/>
              </w:rPr>
              <w:t>2017</w:t>
            </w:r>
            <w:r>
              <w:rPr>
                <w:rFonts w:ascii="Helvetica" w:hAnsi="Helvetica" w:cs="Helvetica" w:hint="eastAsia"/>
                <w:color w:val="393939"/>
                <w:kern w:val="0"/>
                <w:sz w:val="24"/>
                <w:szCs w:val="24"/>
              </w:rPr>
              <w:t>年公司的创投整体收益持续增长，公司全资子公司天越创投将持有的中南卡通股份转让给了金中南创投。未来三年随着持有的部分</w:t>
            </w:r>
            <w:r>
              <w:rPr>
                <w:rFonts w:ascii="Helvetica" w:hAnsi="Helvetica" w:cs="Helvetica"/>
                <w:color w:val="393939"/>
                <w:kern w:val="0"/>
                <w:sz w:val="24"/>
                <w:szCs w:val="24"/>
              </w:rPr>
              <w:t xml:space="preserve"> IPO </w:t>
            </w:r>
            <w:r>
              <w:rPr>
                <w:rFonts w:ascii="Helvetica" w:hAnsi="Helvetica" w:cs="Helvetica" w:hint="eastAsia"/>
                <w:color w:val="393939"/>
                <w:kern w:val="0"/>
                <w:sz w:val="24"/>
                <w:szCs w:val="24"/>
              </w:rPr>
              <w:t>项目解禁，公司创投业务每年均可取得一定投资回报。</w:t>
            </w:r>
          </w:p>
          <w:p w:rsidR="00C7362F" w:rsidRDefault="00C7362F" w:rsidP="00C7362F">
            <w:pPr>
              <w:ind w:firstLineChars="200" w:firstLine="480"/>
              <w:rPr>
                <w:rFonts w:ascii="宋体" w:hAnsi="宋体" w:cstheme="minorBidi"/>
                <w:sz w:val="24"/>
                <w:szCs w:val="24"/>
              </w:rPr>
            </w:pPr>
          </w:p>
          <w:p w:rsidR="00C7362F" w:rsidRDefault="00C7362F" w:rsidP="00C7362F">
            <w:pPr>
              <w:rPr>
                <w:rFonts w:ascii="宋体" w:hAnsi="宋体"/>
                <w:b/>
                <w:sz w:val="24"/>
                <w:szCs w:val="24"/>
              </w:rPr>
            </w:pPr>
            <w:r>
              <w:rPr>
                <w:rFonts w:ascii="宋体" w:hAnsi="宋体" w:hint="eastAsia"/>
                <w:b/>
                <w:sz w:val="24"/>
                <w:szCs w:val="24"/>
              </w:rPr>
              <w:t>二、2018年一季度概况：</w:t>
            </w:r>
          </w:p>
          <w:p w:rsidR="00C7362F" w:rsidRDefault="00C7362F" w:rsidP="00C7362F">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公司</w:t>
            </w:r>
            <w:r>
              <w:rPr>
                <w:rFonts w:ascii="Helvetica" w:hAnsi="Helvetica" w:cs="Helvetica"/>
                <w:color w:val="393939"/>
                <w:kern w:val="0"/>
                <w:sz w:val="24"/>
                <w:szCs w:val="24"/>
              </w:rPr>
              <w:t>2018</w:t>
            </w:r>
            <w:r>
              <w:rPr>
                <w:rFonts w:ascii="Helvetica" w:hAnsi="Helvetica" w:cs="Helvetica" w:hint="eastAsia"/>
                <w:color w:val="393939"/>
                <w:kern w:val="0"/>
                <w:sz w:val="24"/>
                <w:szCs w:val="24"/>
              </w:rPr>
              <w:t>年一季度实现收入</w:t>
            </w:r>
            <w:r>
              <w:rPr>
                <w:rFonts w:ascii="Helvetica" w:hAnsi="Helvetica" w:cs="Helvetica"/>
                <w:color w:val="393939"/>
                <w:kern w:val="0"/>
                <w:sz w:val="24"/>
                <w:szCs w:val="24"/>
              </w:rPr>
              <w:t>54.9</w:t>
            </w:r>
            <w:r>
              <w:rPr>
                <w:rFonts w:ascii="Helvetica" w:hAnsi="Helvetica" w:cs="Helvetica" w:hint="eastAsia"/>
                <w:color w:val="393939"/>
                <w:kern w:val="0"/>
                <w:sz w:val="24"/>
                <w:szCs w:val="24"/>
              </w:rPr>
              <w:t>亿元，同比增长</w:t>
            </w:r>
            <w:r>
              <w:rPr>
                <w:rFonts w:ascii="Helvetica" w:hAnsi="Helvetica" w:cs="Helvetica"/>
                <w:color w:val="393939"/>
                <w:kern w:val="0"/>
                <w:sz w:val="24"/>
                <w:szCs w:val="24"/>
              </w:rPr>
              <w:t>112%</w:t>
            </w:r>
            <w:r>
              <w:rPr>
                <w:rFonts w:ascii="Helvetica" w:hAnsi="Helvetica" w:cs="Helvetica" w:hint="eastAsia"/>
                <w:color w:val="393939"/>
                <w:kern w:val="0"/>
                <w:sz w:val="24"/>
                <w:szCs w:val="24"/>
              </w:rPr>
              <w:t>。同时，公司实现归属于上市公司股东的净利润为</w:t>
            </w:r>
            <w:r>
              <w:rPr>
                <w:rFonts w:ascii="Helvetica" w:hAnsi="Helvetica" w:cs="Helvetica"/>
                <w:color w:val="393939"/>
                <w:kern w:val="0"/>
                <w:sz w:val="24"/>
                <w:szCs w:val="24"/>
              </w:rPr>
              <w:t>1.01</w:t>
            </w:r>
            <w:r>
              <w:rPr>
                <w:rFonts w:ascii="Helvetica" w:hAnsi="Helvetica" w:cs="Helvetica" w:hint="eastAsia"/>
                <w:color w:val="393939"/>
                <w:kern w:val="0"/>
                <w:sz w:val="24"/>
                <w:szCs w:val="24"/>
              </w:rPr>
              <w:t>亿元，同比大增</w:t>
            </w:r>
            <w:r>
              <w:rPr>
                <w:rFonts w:ascii="Helvetica" w:hAnsi="Helvetica" w:cs="Helvetica"/>
                <w:color w:val="393939"/>
                <w:kern w:val="0"/>
                <w:sz w:val="24"/>
                <w:szCs w:val="24"/>
              </w:rPr>
              <w:t>271%</w:t>
            </w:r>
            <w:r>
              <w:rPr>
                <w:rFonts w:ascii="Helvetica" w:hAnsi="Helvetica" w:cs="Helvetica" w:hint="eastAsia"/>
                <w:color w:val="393939"/>
                <w:kern w:val="0"/>
                <w:sz w:val="24"/>
                <w:szCs w:val="24"/>
              </w:rPr>
              <w:t>；扣非净利润</w:t>
            </w:r>
            <w:r>
              <w:rPr>
                <w:rFonts w:ascii="Helvetica" w:hAnsi="Helvetica" w:cs="Helvetica"/>
                <w:color w:val="393939"/>
                <w:kern w:val="0"/>
                <w:sz w:val="24"/>
                <w:szCs w:val="24"/>
              </w:rPr>
              <w:t>8156</w:t>
            </w:r>
            <w:r>
              <w:rPr>
                <w:rFonts w:ascii="Helvetica" w:hAnsi="Helvetica" w:cs="Helvetica" w:hint="eastAsia"/>
                <w:color w:val="393939"/>
                <w:kern w:val="0"/>
                <w:sz w:val="24"/>
                <w:szCs w:val="24"/>
              </w:rPr>
              <w:t>万元，同比增长</w:t>
            </w:r>
            <w:r>
              <w:rPr>
                <w:rFonts w:ascii="Helvetica" w:hAnsi="Helvetica" w:cs="Helvetica"/>
                <w:color w:val="393939"/>
                <w:kern w:val="0"/>
                <w:sz w:val="24"/>
                <w:szCs w:val="24"/>
              </w:rPr>
              <w:t>162.59%</w:t>
            </w:r>
            <w:r>
              <w:rPr>
                <w:rFonts w:ascii="Helvetica" w:hAnsi="Helvetica" w:cs="Helvetica" w:hint="eastAsia"/>
                <w:color w:val="393939"/>
                <w:kern w:val="0"/>
                <w:sz w:val="24"/>
                <w:szCs w:val="24"/>
              </w:rPr>
              <w:t>。</w:t>
            </w:r>
          </w:p>
          <w:p w:rsidR="00C7362F" w:rsidRDefault="00C7362F" w:rsidP="00C7362F">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自去年以来，海越股份聚焦能源主业，不断加大技术和运维投入，持续释放企业生产力。</w:t>
            </w:r>
          </w:p>
          <w:p w:rsidR="00C7362F" w:rsidRDefault="00C7362F" w:rsidP="00C7362F">
            <w:pPr>
              <w:widowControl/>
              <w:spacing w:line="368" w:lineRule="atLeast"/>
              <w:ind w:firstLineChars="200" w:firstLine="480"/>
              <w:jc w:val="left"/>
              <w:rPr>
                <w:rFonts w:ascii="Helvetica" w:hAnsi="Helvetica" w:cs="Helvetica"/>
                <w:color w:val="393939"/>
                <w:kern w:val="0"/>
                <w:sz w:val="24"/>
                <w:szCs w:val="24"/>
              </w:rPr>
            </w:pPr>
          </w:p>
          <w:p w:rsidR="00C7362F" w:rsidRDefault="00C7362F" w:rsidP="00C7362F">
            <w:pPr>
              <w:rPr>
                <w:rFonts w:ascii="宋体" w:hAnsi="宋体" w:cstheme="minorBidi"/>
                <w:b/>
                <w:sz w:val="24"/>
                <w:szCs w:val="24"/>
              </w:rPr>
            </w:pPr>
            <w:r>
              <w:rPr>
                <w:rFonts w:ascii="宋体" w:hAnsi="宋体" w:hint="eastAsia"/>
                <w:b/>
                <w:sz w:val="24"/>
                <w:szCs w:val="24"/>
              </w:rPr>
              <w:t>三、提问环节：</w:t>
            </w:r>
          </w:p>
          <w:p w:rsidR="00C7362F" w:rsidRDefault="00C7362F" w:rsidP="00C7362F">
            <w:pPr>
              <w:widowControl/>
              <w:spacing w:line="368" w:lineRule="atLeast"/>
              <w:ind w:firstLineChars="200" w:firstLine="482"/>
              <w:jc w:val="left"/>
              <w:rPr>
                <w:rFonts w:ascii="Helvetica" w:hAnsi="Helvetica" w:cs="Helvetica"/>
                <w:color w:val="393939"/>
                <w:kern w:val="0"/>
                <w:sz w:val="24"/>
                <w:szCs w:val="24"/>
              </w:rPr>
            </w:pPr>
            <w:r>
              <w:rPr>
                <w:rFonts w:ascii="Arial" w:hAnsi="Arial" w:cs="Arial"/>
                <w:b/>
                <w:bCs/>
                <w:color w:val="393939"/>
                <w:kern w:val="0"/>
                <w:sz w:val="24"/>
                <w:szCs w:val="24"/>
              </w:rPr>
              <w:t>1</w:t>
            </w:r>
            <w:r>
              <w:rPr>
                <w:rFonts w:ascii="Helvetica" w:hAnsi="Helvetica" w:cs="Helvetica" w:hint="eastAsia"/>
                <w:b/>
                <w:bCs/>
                <w:color w:val="393939"/>
                <w:kern w:val="0"/>
                <w:sz w:val="24"/>
                <w:szCs w:val="24"/>
              </w:rPr>
              <w:t>、宁波海越一季度盈利的原因？今年是否还有检修计划？</w:t>
            </w:r>
          </w:p>
          <w:p w:rsidR="00C7362F" w:rsidRDefault="00C7362F" w:rsidP="00C7362F">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宁波海越一季度的情况，去年大检修后装置的负荷率和在线率都达到了历史最好水平，前期整体的市场情况，包括</w:t>
            </w:r>
            <w:r>
              <w:rPr>
                <w:rFonts w:ascii="Arial" w:hAnsi="Arial" w:cs="Arial"/>
                <w:color w:val="393939"/>
                <w:kern w:val="0"/>
                <w:sz w:val="24"/>
                <w:szCs w:val="24"/>
              </w:rPr>
              <w:t>PDH</w:t>
            </w:r>
            <w:r>
              <w:rPr>
                <w:rFonts w:ascii="Helvetica" w:hAnsi="Helvetica" w:cs="Helvetica" w:hint="eastAsia"/>
                <w:color w:val="393939"/>
                <w:kern w:val="0"/>
                <w:sz w:val="24"/>
                <w:szCs w:val="24"/>
              </w:rPr>
              <w:t>价差也有不错的表现。</w:t>
            </w:r>
          </w:p>
          <w:p w:rsidR="00C7362F" w:rsidRDefault="00C7362F" w:rsidP="00C7362F">
            <w:pPr>
              <w:widowControl/>
              <w:spacing w:line="368" w:lineRule="atLeast"/>
              <w:ind w:firstLineChars="200" w:firstLine="482"/>
              <w:jc w:val="left"/>
              <w:rPr>
                <w:rFonts w:ascii="Helvetica" w:hAnsi="Helvetica" w:cs="Helvetica"/>
                <w:color w:val="393939"/>
                <w:kern w:val="0"/>
                <w:sz w:val="24"/>
                <w:szCs w:val="24"/>
              </w:rPr>
            </w:pPr>
            <w:r>
              <w:rPr>
                <w:rFonts w:ascii="Arial" w:hAnsi="Arial" w:cs="Arial"/>
                <w:b/>
                <w:bCs/>
                <w:color w:val="393939"/>
                <w:kern w:val="0"/>
                <w:sz w:val="24"/>
                <w:szCs w:val="24"/>
              </w:rPr>
              <w:t>2</w:t>
            </w:r>
            <w:r>
              <w:rPr>
                <w:rFonts w:ascii="Helvetica" w:hAnsi="Helvetica" w:cs="Helvetica" w:hint="eastAsia"/>
                <w:b/>
                <w:bCs/>
                <w:color w:val="393939"/>
                <w:kern w:val="0"/>
                <w:sz w:val="24"/>
                <w:szCs w:val="24"/>
              </w:rPr>
              <w:t>、宁波海越二期进展</w:t>
            </w:r>
            <w:r w:rsidR="002F2FE2">
              <w:rPr>
                <w:rFonts w:ascii="Helvetica" w:hAnsi="Helvetica" w:cs="Helvetica" w:hint="eastAsia"/>
                <w:b/>
                <w:bCs/>
                <w:color w:val="393939"/>
                <w:kern w:val="0"/>
                <w:sz w:val="24"/>
                <w:szCs w:val="24"/>
              </w:rPr>
              <w:t>？</w:t>
            </w:r>
          </w:p>
          <w:p w:rsidR="00C7362F" w:rsidRDefault="00C7362F" w:rsidP="00C7362F">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二期项目已经进行了前期的准备工作，后续将推进相关可研。</w:t>
            </w:r>
          </w:p>
          <w:p w:rsidR="00C7362F" w:rsidRDefault="00C7362F" w:rsidP="00C7362F">
            <w:pPr>
              <w:widowControl/>
              <w:spacing w:line="368" w:lineRule="atLeast"/>
              <w:ind w:firstLineChars="200" w:firstLine="482"/>
              <w:jc w:val="left"/>
              <w:rPr>
                <w:rFonts w:ascii="Helvetica" w:hAnsi="Helvetica" w:cs="Helvetica"/>
                <w:color w:val="393939"/>
                <w:kern w:val="0"/>
                <w:sz w:val="24"/>
                <w:szCs w:val="24"/>
              </w:rPr>
            </w:pPr>
            <w:r>
              <w:rPr>
                <w:rFonts w:ascii="Arial" w:hAnsi="Arial" w:cs="Arial"/>
                <w:b/>
                <w:bCs/>
                <w:color w:val="393939"/>
                <w:kern w:val="0"/>
                <w:sz w:val="24"/>
                <w:szCs w:val="24"/>
              </w:rPr>
              <w:t>3</w:t>
            </w:r>
            <w:r>
              <w:rPr>
                <w:rFonts w:ascii="Helvetica" w:hAnsi="Helvetica" w:cs="Helvetica" w:hint="eastAsia"/>
                <w:b/>
                <w:bCs/>
                <w:color w:val="393939"/>
                <w:kern w:val="0"/>
                <w:sz w:val="24"/>
                <w:szCs w:val="24"/>
              </w:rPr>
              <w:t>、原料丙烷价格跟现货价格比较</w:t>
            </w:r>
            <w:r w:rsidR="002F2FE2">
              <w:rPr>
                <w:rFonts w:ascii="Helvetica" w:hAnsi="Helvetica" w:cs="Helvetica" w:hint="eastAsia"/>
                <w:b/>
                <w:bCs/>
                <w:color w:val="393939"/>
                <w:kern w:val="0"/>
                <w:sz w:val="24"/>
                <w:szCs w:val="24"/>
              </w:rPr>
              <w:t>？</w:t>
            </w:r>
          </w:p>
          <w:p w:rsidR="00C7362F" w:rsidRDefault="00C7362F" w:rsidP="00C7362F">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长约目前还没有执行完，公司的策略是跟供应商进行协商，把长约执行期限拉长，当期消化的长约比例减小，每年执行长约的数量占到总体采购数量的</w:t>
            </w:r>
            <w:r>
              <w:rPr>
                <w:rFonts w:ascii="Arial" w:hAnsi="Arial" w:cs="Arial"/>
                <w:color w:val="393939"/>
                <w:kern w:val="0"/>
                <w:sz w:val="24"/>
                <w:szCs w:val="24"/>
              </w:rPr>
              <w:t>15%</w:t>
            </w:r>
            <w:r>
              <w:rPr>
                <w:rFonts w:ascii="Helvetica" w:hAnsi="Helvetica" w:cs="Helvetica" w:hint="eastAsia"/>
                <w:color w:val="393939"/>
                <w:kern w:val="0"/>
                <w:sz w:val="24"/>
                <w:szCs w:val="24"/>
              </w:rPr>
              <w:t>。现货采购根据生产计划去询价，确定现货的价格。</w:t>
            </w:r>
          </w:p>
          <w:p w:rsidR="00C7362F" w:rsidRDefault="00C7362F" w:rsidP="00C7362F">
            <w:pPr>
              <w:widowControl/>
              <w:spacing w:line="368" w:lineRule="atLeast"/>
              <w:ind w:firstLineChars="200" w:firstLine="482"/>
              <w:jc w:val="left"/>
              <w:rPr>
                <w:rFonts w:ascii="Helvetica" w:hAnsi="Helvetica" w:cs="Helvetica"/>
                <w:color w:val="393939"/>
                <w:kern w:val="0"/>
                <w:sz w:val="24"/>
                <w:szCs w:val="24"/>
              </w:rPr>
            </w:pPr>
            <w:r>
              <w:rPr>
                <w:rFonts w:ascii="Arial" w:hAnsi="Arial" w:cs="Arial"/>
                <w:b/>
                <w:bCs/>
                <w:color w:val="393939"/>
                <w:kern w:val="0"/>
                <w:sz w:val="24"/>
                <w:szCs w:val="24"/>
              </w:rPr>
              <w:lastRenderedPageBreak/>
              <w:t>4</w:t>
            </w:r>
            <w:r>
              <w:rPr>
                <w:rFonts w:ascii="Helvetica" w:hAnsi="Helvetica" w:cs="Helvetica" w:hint="eastAsia"/>
                <w:b/>
                <w:bCs/>
                <w:color w:val="393939"/>
                <w:kern w:val="0"/>
                <w:sz w:val="24"/>
                <w:szCs w:val="24"/>
              </w:rPr>
              <w:t>、</w:t>
            </w:r>
            <w:r w:rsidR="002F2FE2" w:rsidRPr="002F2FE2">
              <w:rPr>
                <w:rFonts w:ascii="Arial" w:hAnsi="Arial" w:cs="Arial" w:hint="eastAsia"/>
                <w:b/>
                <w:bCs/>
                <w:color w:val="393939"/>
                <w:kern w:val="0"/>
                <w:sz w:val="24"/>
                <w:szCs w:val="24"/>
              </w:rPr>
              <w:t>全年</w:t>
            </w:r>
            <w:r w:rsidR="002F2FE2" w:rsidRPr="002F2FE2">
              <w:rPr>
                <w:rFonts w:ascii="Arial" w:hAnsi="Arial" w:cs="Arial" w:hint="eastAsia"/>
                <w:b/>
                <w:bCs/>
                <w:color w:val="393939"/>
                <w:kern w:val="0"/>
                <w:sz w:val="24"/>
                <w:szCs w:val="24"/>
              </w:rPr>
              <w:t>PDH</w:t>
            </w:r>
            <w:r w:rsidR="002F2FE2" w:rsidRPr="002F2FE2">
              <w:rPr>
                <w:rFonts w:ascii="Arial" w:hAnsi="Arial" w:cs="Arial" w:hint="eastAsia"/>
                <w:b/>
                <w:bCs/>
                <w:color w:val="393939"/>
                <w:kern w:val="0"/>
                <w:sz w:val="24"/>
                <w:szCs w:val="24"/>
              </w:rPr>
              <w:t>行业情况预测</w:t>
            </w:r>
            <w:r w:rsidR="002F2FE2">
              <w:rPr>
                <w:rFonts w:ascii="Arial" w:hAnsi="Arial" w:cs="Arial" w:hint="eastAsia"/>
                <w:b/>
                <w:bCs/>
                <w:color w:val="393939"/>
                <w:kern w:val="0"/>
                <w:sz w:val="24"/>
                <w:szCs w:val="24"/>
              </w:rPr>
              <w:t>？</w:t>
            </w:r>
          </w:p>
          <w:p w:rsidR="00C7362F" w:rsidRDefault="00C7362F" w:rsidP="00652788">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从原料供应来看，总体来说全球丙烷脱氢供应还是比较充足的，一般冬季价格比较高，夏季低一些。下游主要是看聚丙烯的需求情况，包括聚丙烯期货市场的表现，对丙烯的价格也有影响，从去年冬天到现在，总体来说价差在扩大，全年来说行业的情况还是比较看好的。</w:t>
            </w:r>
          </w:p>
          <w:p w:rsidR="00C7362F" w:rsidRDefault="00C7362F" w:rsidP="00C7362F">
            <w:pPr>
              <w:widowControl/>
              <w:spacing w:line="368" w:lineRule="atLeast"/>
              <w:ind w:firstLineChars="200" w:firstLine="482"/>
              <w:jc w:val="left"/>
              <w:rPr>
                <w:rFonts w:ascii="Helvetica" w:hAnsi="Helvetica" w:cs="Helvetica"/>
                <w:color w:val="393939"/>
                <w:kern w:val="0"/>
                <w:sz w:val="24"/>
                <w:szCs w:val="24"/>
              </w:rPr>
            </w:pPr>
            <w:r>
              <w:rPr>
                <w:rFonts w:ascii="Arial" w:hAnsi="Arial" w:cs="Arial"/>
                <w:b/>
                <w:bCs/>
                <w:color w:val="393939"/>
                <w:kern w:val="0"/>
                <w:sz w:val="24"/>
                <w:szCs w:val="24"/>
              </w:rPr>
              <w:t>5</w:t>
            </w:r>
            <w:r>
              <w:rPr>
                <w:rFonts w:ascii="Helvetica" w:hAnsi="Helvetica" w:cs="Helvetica" w:hint="eastAsia"/>
                <w:b/>
                <w:bCs/>
                <w:color w:val="393939"/>
                <w:kern w:val="0"/>
                <w:sz w:val="24"/>
                <w:szCs w:val="24"/>
              </w:rPr>
              <w:t>、目前丙烯产销情况</w:t>
            </w:r>
            <w:r w:rsidR="002F2FE2">
              <w:rPr>
                <w:rFonts w:ascii="Helvetica" w:hAnsi="Helvetica" w:cs="Helvetica" w:hint="eastAsia"/>
                <w:b/>
                <w:bCs/>
                <w:color w:val="393939"/>
                <w:kern w:val="0"/>
                <w:sz w:val="24"/>
                <w:szCs w:val="24"/>
              </w:rPr>
              <w:t>？</w:t>
            </w:r>
          </w:p>
          <w:p w:rsidR="00C7362F" w:rsidRDefault="00C7362F" w:rsidP="00C7362F">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一季度丙烯每月生产量大概</w:t>
            </w:r>
            <w:r>
              <w:rPr>
                <w:rFonts w:ascii="Arial" w:hAnsi="Arial" w:cs="Arial"/>
                <w:color w:val="393939"/>
                <w:kern w:val="0"/>
                <w:sz w:val="24"/>
                <w:szCs w:val="24"/>
              </w:rPr>
              <w:t>5.4W</w:t>
            </w:r>
            <w:r>
              <w:rPr>
                <w:rFonts w:ascii="Helvetica" w:hAnsi="Helvetica" w:cs="Helvetica" w:hint="eastAsia"/>
                <w:color w:val="393939"/>
                <w:kern w:val="0"/>
                <w:sz w:val="24"/>
                <w:szCs w:val="24"/>
              </w:rPr>
              <w:t>吨左右，销售都没有问题。丙烯基本上是就近销售，下游大客户为主，华东聚丙烯的工厂、丙烯酸等下游工厂。</w:t>
            </w:r>
          </w:p>
          <w:p w:rsidR="00C7362F" w:rsidRDefault="00C7362F" w:rsidP="00C7362F">
            <w:pPr>
              <w:widowControl/>
              <w:spacing w:line="368" w:lineRule="atLeast"/>
              <w:ind w:firstLineChars="200" w:firstLine="482"/>
              <w:jc w:val="left"/>
              <w:rPr>
                <w:rFonts w:ascii="Helvetica" w:hAnsi="Helvetica" w:cs="Helvetica"/>
                <w:color w:val="393939"/>
                <w:kern w:val="0"/>
                <w:sz w:val="24"/>
                <w:szCs w:val="24"/>
              </w:rPr>
            </w:pPr>
            <w:r>
              <w:rPr>
                <w:rFonts w:ascii="Arial" w:hAnsi="Arial" w:cs="Arial"/>
                <w:b/>
                <w:bCs/>
                <w:color w:val="393939"/>
                <w:kern w:val="0"/>
                <w:sz w:val="24"/>
                <w:szCs w:val="24"/>
              </w:rPr>
              <w:t>6</w:t>
            </w:r>
            <w:r>
              <w:rPr>
                <w:rFonts w:ascii="Helvetica" w:hAnsi="Helvetica" w:cs="Helvetica" w:hint="eastAsia"/>
                <w:b/>
                <w:bCs/>
                <w:color w:val="393939"/>
                <w:kern w:val="0"/>
                <w:sz w:val="24"/>
                <w:szCs w:val="24"/>
              </w:rPr>
              <w:t>、丙烯、异辛烷毛利率情况</w:t>
            </w:r>
            <w:r w:rsidR="002F2FE2">
              <w:rPr>
                <w:rFonts w:ascii="Helvetica" w:hAnsi="Helvetica" w:cs="Helvetica" w:hint="eastAsia"/>
                <w:b/>
                <w:bCs/>
                <w:color w:val="393939"/>
                <w:kern w:val="0"/>
                <w:sz w:val="24"/>
                <w:szCs w:val="24"/>
              </w:rPr>
              <w:t>？</w:t>
            </w:r>
          </w:p>
          <w:p w:rsidR="00C7362F" w:rsidRDefault="00C7362F" w:rsidP="00C7362F">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丙烯、异辛烷毛利率相较大修前有大幅的提升，异辛烷主要是受上游原料采购的市场波动，基本围绕盈亏平衡线。丙烯</w:t>
            </w:r>
            <w:r>
              <w:rPr>
                <w:rFonts w:ascii="Arial" w:hAnsi="Arial" w:cs="Arial"/>
                <w:color w:val="393939"/>
                <w:kern w:val="0"/>
                <w:sz w:val="24"/>
                <w:szCs w:val="24"/>
              </w:rPr>
              <w:t>15-20%</w:t>
            </w:r>
            <w:r>
              <w:rPr>
                <w:rFonts w:ascii="Helvetica" w:hAnsi="Helvetica" w:cs="Helvetica" w:hint="eastAsia"/>
                <w:color w:val="393939"/>
                <w:kern w:val="0"/>
                <w:sz w:val="24"/>
                <w:szCs w:val="24"/>
              </w:rPr>
              <w:t>毛利率，根据市场波动。</w:t>
            </w:r>
          </w:p>
          <w:p w:rsidR="00C7362F" w:rsidRDefault="00C7362F" w:rsidP="00C7362F">
            <w:pPr>
              <w:widowControl/>
              <w:spacing w:line="368" w:lineRule="atLeast"/>
              <w:ind w:firstLineChars="200" w:firstLine="482"/>
              <w:jc w:val="left"/>
              <w:rPr>
                <w:rFonts w:ascii="Helvetica" w:hAnsi="Helvetica" w:cs="Helvetica"/>
                <w:color w:val="393939"/>
                <w:kern w:val="0"/>
                <w:sz w:val="24"/>
                <w:szCs w:val="24"/>
              </w:rPr>
            </w:pPr>
            <w:r>
              <w:rPr>
                <w:rFonts w:ascii="Arial" w:hAnsi="Arial" w:cs="Arial"/>
                <w:b/>
                <w:bCs/>
                <w:color w:val="393939"/>
                <w:kern w:val="0"/>
                <w:sz w:val="24"/>
                <w:szCs w:val="24"/>
              </w:rPr>
              <w:t>7</w:t>
            </w:r>
            <w:r>
              <w:rPr>
                <w:rFonts w:ascii="Helvetica" w:hAnsi="Helvetica" w:cs="Helvetica" w:hint="eastAsia"/>
                <w:b/>
                <w:bCs/>
                <w:color w:val="393939"/>
                <w:kern w:val="0"/>
                <w:sz w:val="24"/>
                <w:szCs w:val="24"/>
              </w:rPr>
              <w:t>、丙烷原料来源</w:t>
            </w:r>
            <w:r w:rsidR="002F2FE2">
              <w:rPr>
                <w:rFonts w:ascii="Helvetica" w:hAnsi="Helvetica" w:cs="Helvetica" w:hint="eastAsia"/>
                <w:b/>
                <w:bCs/>
                <w:color w:val="393939"/>
                <w:kern w:val="0"/>
                <w:sz w:val="24"/>
                <w:szCs w:val="24"/>
              </w:rPr>
              <w:t>？</w:t>
            </w:r>
            <w:r>
              <w:rPr>
                <w:rFonts w:ascii="Helvetica" w:hAnsi="Helvetica" w:cs="Helvetica" w:hint="eastAsia"/>
                <w:b/>
                <w:bCs/>
                <w:color w:val="393939"/>
                <w:kern w:val="0"/>
                <w:sz w:val="24"/>
                <w:szCs w:val="24"/>
              </w:rPr>
              <w:t>中美贸易战对原料成本有影响么？</w:t>
            </w:r>
          </w:p>
          <w:p w:rsidR="00C7362F" w:rsidRDefault="00C7362F" w:rsidP="00652788">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丙烷原料主要来自于美国（</w:t>
            </w:r>
            <w:r>
              <w:rPr>
                <w:rFonts w:ascii="Arial" w:hAnsi="Arial" w:cs="Arial"/>
                <w:color w:val="393939"/>
                <w:kern w:val="0"/>
                <w:sz w:val="24"/>
                <w:szCs w:val="24"/>
              </w:rPr>
              <w:t>25%</w:t>
            </w:r>
            <w:r>
              <w:rPr>
                <w:rFonts w:ascii="Helvetica" w:hAnsi="Helvetica" w:cs="Helvetica" w:hint="eastAsia"/>
                <w:color w:val="393939"/>
                <w:kern w:val="0"/>
                <w:sz w:val="24"/>
                <w:szCs w:val="24"/>
              </w:rPr>
              <w:t>）、中东，其他如伊朗、非洲也有一部分。如果关税开征的话，直接从美国采购的货物成本会提高，则会尽量避免从美国直接采购。业内有一部分观点认为中美贸易战会导致中东的产品供不应求，而提升中东价格，但总体上来说，丙烷通过一些国内大的贸易商，可以通过换货的操作模式，来平衡市场差价，比如说以前美国到中国的货，可以换到韩国日本，把中东的货换过来，来寻求成本的降低，目前我们已经跟一些供应商在探讨。丙烷进口是冷冻状态下的液态。目前我司没有直接与美国供应商签订协议，目前签订合同规定的产地是除伊朗、伊拉克以外的所有国家，目前贸易战没有对公司丙烷造成影响，后续以现货采购为主，可以在现货采购中明确相应合同条款，如明确产地不包括美国。</w:t>
            </w:r>
          </w:p>
          <w:p w:rsidR="00C7362F" w:rsidRDefault="00C7362F" w:rsidP="00C7362F">
            <w:pPr>
              <w:widowControl/>
              <w:spacing w:line="368" w:lineRule="atLeast"/>
              <w:ind w:firstLineChars="200" w:firstLine="482"/>
              <w:jc w:val="left"/>
              <w:rPr>
                <w:rFonts w:ascii="Helvetica" w:hAnsi="Helvetica" w:cs="Helvetica"/>
                <w:color w:val="393939"/>
                <w:kern w:val="0"/>
                <w:sz w:val="24"/>
                <w:szCs w:val="24"/>
              </w:rPr>
            </w:pPr>
            <w:r>
              <w:rPr>
                <w:rFonts w:ascii="Arial" w:hAnsi="Arial" w:cs="Arial"/>
                <w:b/>
                <w:bCs/>
                <w:color w:val="393939"/>
                <w:kern w:val="0"/>
                <w:sz w:val="24"/>
                <w:szCs w:val="24"/>
              </w:rPr>
              <w:t>8</w:t>
            </w:r>
            <w:r>
              <w:rPr>
                <w:rFonts w:ascii="Helvetica" w:hAnsi="Helvetica" w:cs="Helvetica" w:hint="eastAsia"/>
                <w:b/>
                <w:bCs/>
                <w:color w:val="393939"/>
                <w:kern w:val="0"/>
                <w:sz w:val="24"/>
                <w:szCs w:val="24"/>
              </w:rPr>
              <w:t>、现在国家比较支持</w:t>
            </w:r>
            <w:r>
              <w:rPr>
                <w:rFonts w:ascii="Arial" w:hAnsi="Arial" w:cs="Arial"/>
                <w:b/>
                <w:bCs/>
                <w:color w:val="393939"/>
                <w:kern w:val="0"/>
                <w:sz w:val="24"/>
                <w:szCs w:val="24"/>
              </w:rPr>
              <w:t>PDH</w:t>
            </w:r>
            <w:r>
              <w:rPr>
                <w:rFonts w:ascii="Helvetica" w:hAnsi="Helvetica" w:cs="Helvetica" w:hint="eastAsia"/>
                <w:b/>
                <w:bCs/>
                <w:color w:val="393939"/>
                <w:kern w:val="0"/>
                <w:sz w:val="24"/>
                <w:szCs w:val="24"/>
              </w:rPr>
              <w:t>，现在在政策上是否有实质的对公司的利好呢？</w:t>
            </w:r>
          </w:p>
          <w:p w:rsidR="00C7362F" w:rsidRDefault="00C7362F" w:rsidP="00C7362F">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目前还没有。</w:t>
            </w:r>
          </w:p>
          <w:p w:rsidR="00C7362F" w:rsidRDefault="00C7362F" w:rsidP="00C7362F">
            <w:pPr>
              <w:widowControl/>
              <w:spacing w:line="368" w:lineRule="atLeast"/>
              <w:ind w:firstLineChars="200" w:firstLine="482"/>
              <w:jc w:val="left"/>
              <w:rPr>
                <w:rFonts w:ascii="Helvetica" w:hAnsi="Helvetica" w:cs="Helvetica"/>
                <w:color w:val="393939"/>
                <w:kern w:val="0"/>
                <w:sz w:val="24"/>
                <w:szCs w:val="24"/>
              </w:rPr>
            </w:pPr>
            <w:r>
              <w:rPr>
                <w:rFonts w:ascii="Arial" w:hAnsi="Arial" w:cs="Arial"/>
                <w:b/>
                <w:bCs/>
                <w:color w:val="393939"/>
                <w:kern w:val="0"/>
                <w:sz w:val="24"/>
                <w:szCs w:val="24"/>
              </w:rPr>
              <w:t>9</w:t>
            </w:r>
            <w:r>
              <w:rPr>
                <w:rFonts w:ascii="Helvetica" w:hAnsi="Helvetica" w:cs="Helvetica" w:hint="eastAsia"/>
                <w:b/>
                <w:bCs/>
                <w:color w:val="393939"/>
                <w:kern w:val="0"/>
                <w:sz w:val="24"/>
                <w:szCs w:val="24"/>
              </w:rPr>
              <w:t>、财务费用下降的特别快，</w:t>
            </w:r>
            <w:r>
              <w:rPr>
                <w:rFonts w:ascii="Arial" w:hAnsi="Arial" w:cs="Arial"/>
                <w:b/>
                <w:bCs/>
                <w:color w:val="393939"/>
                <w:kern w:val="0"/>
                <w:sz w:val="24"/>
                <w:szCs w:val="24"/>
              </w:rPr>
              <w:t>16</w:t>
            </w:r>
            <w:r>
              <w:rPr>
                <w:rFonts w:ascii="Helvetica" w:hAnsi="Helvetica" w:cs="Helvetica" w:hint="eastAsia"/>
                <w:b/>
                <w:bCs/>
                <w:color w:val="393939"/>
                <w:kern w:val="0"/>
                <w:sz w:val="24"/>
                <w:szCs w:val="24"/>
              </w:rPr>
              <w:t>年</w:t>
            </w:r>
            <w:r>
              <w:rPr>
                <w:rFonts w:ascii="Arial" w:hAnsi="Arial" w:cs="Arial"/>
                <w:b/>
                <w:bCs/>
                <w:color w:val="393939"/>
                <w:kern w:val="0"/>
                <w:sz w:val="24"/>
                <w:szCs w:val="24"/>
              </w:rPr>
              <w:t>4</w:t>
            </w:r>
            <w:r>
              <w:rPr>
                <w:rFonts w:ascii="Helvetica" w:hAnsi="Helvetica" w:cs="Helvetica" w:hint="eastAsia"/>
                <w:b/>
                <w:bCs/>
                <w:color w:val="393939"/>
                <w:kern w:val="0"/>
                <w:sz w:val="24"/>
                <w:szCs w:val="24"/>
              </w:rPr>
              <w:t>亿，</w:t>
            </w:r>
            <w:r>
              <w:rPr>
                <w:rFonts w:ascii="Arial" w:hAnsi="Arial" w:cs="Arial"/>
                <w:b/>
                <w:bCs/>
                <w:color w:val="393939"/>
                <w:kern w:val="0"/>
                <w:sz w:val="24"/>
                <w:szCs w:val="24"/>
              </w:rPr>
              <w:t>17</w:t>
            </w:r>
            <w:r>
              <w:rPr>
                <w:rFonts w:ascii="Helvetica" w:hAnsi="Helvetica" w:cs="Helvetica" w:hint="eastAsia"/>
                <w:b/>
                <w:bCs/>
                <w:color w:val="393939"/>
                <w:kern w:val="0"/>
                <w:sz w:val="24"/>
                <w:szCs w:val="24"/>
              </w:rPr>
              <w:t>年</w:t>
            </w:r>
            <w:r>
              <w:rPr>
                <w:rFonts w:ascii="Arial" w:hAnsi="Arial" w:cs="Arial"/>
                <w:b/>
                <w:bCs/>
                <w:color w:val="393939"/>
                <w:kern w:val="0"/>
                <w:sz w:val="24"/>
                <w:szCs w:val="24"/>
              </w:rPr>
              <w:t>1.7</w:t>
            </w:r>
            <w:r>
              <w:rPr>
                <w:rFonts w:ascii="Helvetica" w:hAnsi="Helvetica" w:cs="Helvetica" w:hint="eastAsia"/>
                <w:b/>
                <w:bCs/>
                <w:color w:val="393939"/>
                <w:kern w:val="0"/>
                <w:sz w:val="24"/>
                <w:szCs w:val="24"/>
              </w:rPr>
              <w:t>亿，</w:t>
            </w:r>
            <w:r>
              <w:rPr>
                <w:rFonts w:ascii="Arial" w:hAnsi="Arial" w:cs="Arial"/>
                <w:b/>
                <w:bCs/>
                <w:color w:val="393939"/>
                <w:kern w:val="0"/>
                <w:sz w:val="24"/>
                <w:szCs w:val="24"/>
              </w:rPr>
              <w:t>18</w:t>
            </w:r>
            <w:r>
              <w:rPr>
                <w:rFonts w:ascii="Helvetica" w:hAnsi="Helvetica" w:cs="Helvetica" w:hint="eastAsia"/>
                <w:b/>
                <w:bCs/>
                <w:color w:val="393939"/>
                <w:kern w:val="0"/>
                <w:sz w:val="24"/>
                <w:szCs w:val="24"/>
              </w:rPr>
              <w:t>年</w:t>
            </w:r>
            <w:r>
              <w:rPr>
                <w:rFonts w:ascii="Arial" w:hAnsi="Arial" w:cs="Arial"/>
                <w:b/>
                <w:bCs/>
                <w:color w:val="393939"/>
                <w:kern w:val="0"/>
                <w:sz w:val="24"/>
                <w:szCs w:val="24"/>
              </w:rPr>
              <w:t>1</w:t>
            </w:r>
            <w:r>
              <w:rPr>
                <w:rFonts w:ascii="Helvetica" w:hAnsi="Helvetica" w:cs="Helvetica" w:hint="eastAsia"/>
                <w:b/>
                <w:bCs/>
                <w:color w:val="393939"/>
                <w:kern w:val="0"/>
                <w:sz w:val="24"/>
                <w:szCs w:val="24"/>
              </w:rPr>
              <w:t>季度</w:t>
            </w:r>
            <w:r>
              <w:rPr>
                <w:rFonts w:ascii="Arial" w:hAnsi="Arial" w:cs="Arial"/>
                <w:b/>
                <w:bCs/>
                <w:color w:val="393939"/>
                <w:kern w:val="0"/>
                <w:sz w:val="24"/>
                <w:szCs w:val="24"/>
              </w:rPr>
              <w:t>1500</w:t>
            </w:r>
            <w:r>
              <w:rPr>
                <w:rFonts w:ascii="Helvetica" w:hAnsi="Helvetica" w:cs="Helvetica" w:hint="eastAsia"/>
                <w:b/>
                <w:bCs/>
                <w:color w:val="393939"/>
                <w:kern w:val="0"/>
                <w:sz w:val="24"/>
                <w:szCs w:val="24"/>
              </w:rPr>
              <w:t>万，一季度中披露是因为汇兑损益，这几年除了汇兑因素，还有没有其他因素？公司有没有一些对冲操作？</w:t>
            </w:r>
          </w:p>
          <w:p w:rsidR="00C7362F" w:rsidRDefault="00C7362F" w:rsidP="00C7362F">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目前公司财务支出还是比较稳定的，公司从投产以来的融资规模都是稳定，公司财务费用变化主要都是由于汇兑损益，公司在融资的过程中有一些美元结算的需要，公司账上有一些以美金计价的融资，利息受到汇兑的影响，</w:t>
            </w:r>
            <w:r>
              <w:rPr>
                <w:rFonts w:ascii="Arial" w:hAnsi="Arial" w:cs="Arial"/>
                <w:color w:val="393939"/>
                <w:kern w:val="0"/>
                <w:sz w:val="24"/>
                <w:szCs w:val="24"/>
              </w:rPr>
              <w:t>15</w:t>
            </w:r>
            <w:r>
              <w:rPr>
                <w:rFonts w:ascii="Helvetica" w:hAnsi="Helvetica" w:cs="Helvetica" w:hint="eastAsia"/>
                <w:color w:val="393939"/>
                <w:kern w:val="0"/>
                <w:sz w:val="24"/>
                <w:szCs w:val="24"/>
              </w:rPr>
              <w:t>、</w:t>
            </w:r>
            <w:r>
              <w:rPr>
                <w:rFonts w:ascii="Arial" w:hAnsi="Arial" w:cs="Arial"/>
                <w:color w:val="393939"/>
                <w:kern w:val="0"/>
                <w:sz w:val="24"/>
                <w:szCs w:val="24"/>
              </w:rPr>
              <w:t>16</w:t>
            </w:r>
            <w:r>
              <w:rPr>
                <w:rFonts w:ascii="Helvetica" w:hAnsi="Helvetica" w:cs="Helvetica" w:hint="eastAsia"/>
                <w:color w:val="393939"/>
                <w:kern w:val="0"/>
                <w:sz w:val="24"/>
                <w:szCs w:val="24"/>
              </w:rPr>
              <w:t>人民币有大的贬值情况所在，所以公司关于美元利息方面的汇兑损失比较大，对相应年份的业绩有一定负面影响。</w:t>
            </w:r>
            <w:r>
              <w:rPr>
                <w:rFonts w:ascii="Arial" w:hAnsi="Arial" w:cs="Arial"/>
                <w:color w:val="393939"/>
                <w:kern w:val="0"/>
                <w:sz w:val="24"/>
                <w:szCs w:val="24"/>
              </w:rPr>
              <w:t>17</w:t>
            </w:r>
            <w:r>
              <w:rPr>
                <w:rFonts w:ascii="Helvetica" w:hAnsi="Helvetica" w:cs="Helvetica" w:hint="eastAsia"/>
                <w:color w:val="393939"/>
                <w:kern w:val="0"/>
                <w:sz w:val="24"/>
                <w:szCs w:val="24"/>
              </w:rPr>
              <w:t>年人民币汇率走强，目前人民币也在升值区间之内，公司产生了一些汇兑收益。</w:t>
            </w:r>
          </w:p>
          <w:p w:rsidR="00C7362F" w:rsidRDefault="00C7362F" w:rsidP="00652788">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对冲方面，跟银行有做一些讨论，但是没有到操作阶段。</w:t>
            </w:r>
          </w:p>
          <w:p w:rsidR="00C7362F" w:rsidRDefault="00C7362F" w:rsidP="00C7362F">
            <w:pPr>
              <w:widowControl/>
              <w:spacing w:line="368" w:lineRule="atLeast"/>
              <w:ind w:firstLineChars="200" w:firstLine="482"/>
              <w:jc w:val="left"/>
              <w:rPr>
                <w:rFonts w:ascii="Helvetica" w:hAnsi="Helvetica" w:cs="Helvetica"/>
                <w:color w:val="393939"/>
                <w:kern w:val="0"/>
                <w:sz w:val="24"/>
                <w:szCs w:val="24"/>
              </w:rPr>
            </w:pPr>
            <w:r>
              <w:rPr>
                <w:rFonts w:ascii="Arial" w:hAnsi="Arial" w:cs="Arial"/>
                <w:b/>
                <w:bCs/>
                <w:color w:val="393939"/>
                <w:kern w:val="0"/>
                <w:sz w:val="24"/>
                <w:szCs w:val="24"/>
              </w:rPr>
              <w:t>10</w:t>
            </w:r>
            <w:r>
              <w:rPr>
                <w:rFonts w:ascii="Helvetica" w:hAnsi="Helvetica" w:cs="Helvetica" w:hint="eastAsia"/>
                <w:b/>
                <w:bCs/>
                <w:color w:val="393939"/>
                <w:kern w:val="0"/>
                <w:sz w:val="24"/>
                <w:szCs w:val="24"/>
              </w:rPr>
              <w:t>、主业除了宁波海越之外，还有成品油销售等，主业未来的具体规划？</w:t>
            </w:r>
          </w:p>
          <w:p w:rsidR="00C7362F" w:rsidRDefault="00C7362F" w:rsidP="00C7362F">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目前浙江关于大炼化有一些新的政策出来，公司现阶段还是以稳</w:t>
            </w:r>
            <w:r>
              <w:rPr>
                <w:rFonts w:ascii="Helvetica" w:hAnsi="Helvetica" w:cs="Helvetica" w:hint="eastAsia"/>
                <w:color w:val="393939"/>
                <w:kern w:val="0"/>
                <w:sz w:val="24"/>
                <w:szCs w:val="24"/>
              </w:rPr>
              <w:lastRenderedPageBreak/>
              <w:t>定为主。</w:t>
            </w:r>
          </w:p>
          <w:p w:rsidR="00C7362F" w:rsidRDefault="00C7362F" w:rsidP="00C7362F">
            <w:pPr>
              <w:widowControl/>
              <w:spacing w:line="368" w:lineRule="atLeast"/>
              <w:ind w:firstLineChars="200" w:firstLine="482"/>
              <w:jc w:val="left"/>
              <w:rPr>
                <w:rFonts w:ascii="Helvetica" w:hAnsi="Helvetica" w:cs="Helvetica"/>
                <w:color w:val="393939"/>
                <w:kern w:val="0"/>
                <w:sz w:val="24"/>
                <w:szCs w:val="24"/>
              </w:rPr>
            </w:pPr>
            <w:r>
              <w:rPr>
                <w:rFonts w:ascii="Arial" w:hAnsi="Arial" w:cs="Arial"/>
                <w:b/>
                <w:bCs/>
                <w:color w:val="393939"/>
                <w:kern w:val="0"/>
                <w:sz w:val="24"/>
                <w:szCs w:val="24"/>
              </w:rPr>
              <w:t>11</w:t>
            </w:r>
            <w:r>
              <w:rPr>
                <w:rFonts w:ascii="Helvetica" w:hAnsi="Helvetica" w:cs="Helvetica" w:hint="eastAsia"/>
                <w:b/>
                <w:bCs/>
                <w:color w:val="393939"/>
                <w:kern w:val="0"/>
                <w:sz w:val="24"/>
                <w:szCs w:val="24"/>
              </w:rPr>
              <w:t>、北方石油</w:t>
            </w:r>
            <w:r>
              <w:rPr>
                <w:rFonts w:ascii="Arial" w:hAnsi="Arial" w:cs="Arial"/>
                <w:b/>
                <w:bCs/>
                <w:color w:val="393939"/>
                <w:kern w:val="0"/>
                <w:sz w:val="24"/>
                <w:szCs w:val="24"/>
              </w:rPr>
              <w:t>18</w:t>
            </w:r>
            <w:r>
              <w:rPr>
                <w:rFonts w:ascii="Helvetica" w:hAnsi="Helvetica" w:cs="Helvetica" w:hint="eastAsia"/>
                <w:b/>
                <w:bCs/>
                <w:color w:val="393939"/>
                <w:kern w:val="0"/>
                <w:sz w:val="24"/>
                <w:szCs w:val="24"/>
              </w:rPr>
              <w:t>、</w:t>
            </w:r>
            <w:r>
              <w:rPr>
                <w:rFonts w:ascii="Arial" w:hAnsi="Arial" w:cs="Arial"/>
                <w:b/>
                <w:bCs/>
                <w:color w:val="393939"/>
                <w:kern w:val="0"/>
                <w:sz w:val="24"/>
                <w:szCs w:val="24"/>
              </w:rPr>
              <w:t>19</w:t>
            </w:r>
            <w:r>
              <w:rPr>
                <w:rFonts w:ascii="Helvetica" w:hAnsi="Helvetica" w:cs="Helvetica" w:hint="eastAsia"/>
                <w:b/>
                <w:bCs/>
                <w:color w:val="393939"/>
                <w:kern w:val="0"/>
                <w:sz w:val="24"/>
                <w:szCs w:val="24"/>
              </w:rPr>
              <w:t>年有哪些方面的增量？一季度的话北方石油经营情况怎么样？</w:t>
            </w:r>
          </w:p>
          <w:p w:rsidR="00C7362F" w:rsidRDefault="00C7362F" w:rsidP="00C7362F">
            <w:pPr>
              <w:widowControl/>
              <w:spacing w:line="368" w:lineRule="atLeast"/>
              <w:ind w:firstLineChars="200" w:firstLine="480"/>
              <w:jc w:val="left"/>
              <w:rPr>
                <w:rFonts w:ascii="Helvetica" w:hAnsi="Helvetica" w:cs="Helvetica"/>
                <w:color w:val="393939"/>
                <w:kern w:val="0"/>
                <w:sz w:val="24"/>
                <w:szCs w:val="24"/>
              </w:rPr>
            </w:pPr>
            <w:r>
              <w:rPr>
                <w:rFonts w:ascii="Helvetica" w:hAnsi="Helvetica" w:cs="Helvetica" w:hint="eastAsia"/>
                <w:color w:val="393939"/>
                <w:kern w:val="0"/>
                <w:sz w:val="24"/>
                <w:szCs w:val="24"/>
              </w:rPr>
              <w:t>北方石油业务聚集在京津冀地区，公司已在三沙设立子公司，未来在南北布局方面更加均衡，整体的话业绩承诺比较稳定。今年一季度受春节以及雾霾稍微有所影响，但整体来说是正常的。</w:t>
            </w:r>
          </w:p>
          <w:p w:rsidR="0079682B" w:rsidRPr="001506E2" w:rsidRDefault="0079682B" w:rsidP="0079682B">
            <w:pPr>
              <w:widowControl/>
              <w:spacing w:line="368" w:lineRule="atLeast"/>
              <w:ind w:firstLineChars="200" w:firstLine="480"/>
              <w:jc w:val="left"/>
              <w:rPr>
                <w:rFonts w:asciiTheme="minorEastAsia" w:eastAsiaTheme="minorEastAsia" w:hAnsiTheme="minorEastAsia"/>
                <w:color w:val="000000"/>
                <w:sz w:val="24"/>
                <w:szCs w:val="24"/>
              </w:rPr>
            </w:pPr>
          </w:p>
        </w:tc>
      </w:tr>
      <w:tr w:rsidR="003D2C5D" w:rsidRPr="001506E2" w:rsidTr="00251B74">
        <w:trPr>
          <w:trHeight w:val="566"/>
        </w:trPr>
        <w:tc>
          <w:tcPr>
            <w:tcW w:w="1702" w:type="dxa"/>
          </w:tcPr>
          <w:p w:rsidR="00B4691A" w:rsidRPr="001506E2" w:rsidRDefault="003D2C5D" w:rsidP="001506E2">
            <w:pPr>
              <w:spacing w:line="400" w:lineRule="exact"/>
              <w:jc w:val="center"/>
              <w:rPr>
                <w:rFonts w:asciiTheme="minorEastAsia" w:eastAsiaTheme="minorEastAsia" w:hAnsiTheme="minorEastAsia" w:cs="宋体"/>
                <w:b/>
                <w:color w:val="000000"/>
                <w:sz w:val="24"/>
                <w:szCs w:val="24"/>
              </w:rPr>
            </w:pPr>
            <w:r w:rsidRPr="001506E2">
              <w:rPr>
                <w:rFonts w:asciiTheme="minorEastAsia" w:eastAsiaTheme="minorEastAsia" w:hAnsiTheme="minorEastAsia" w:cs="宋体" w:hint="eastAsia"/>
                <w:b/>
                <w:color w:val="000000"/>
                <w:sz w:val="24"/>
                <w:szCs w:val="24"/>
              </w:rPr>
              <w:lastRenderedPageBreak/>
              <w:t>附件清单</w:t>
            </w:r>
          </w:p>
          <w:p w:rsidR="003D2C5D" w:rsidRPr="001506E2" w:rsidRDefault="003D2C5D" w:rsidP="001506E2">
            <w:pPr>
              <w:spacing w:line="400" w:lineRule="exact"/>
              <w:jc w:val="center"/>
              <w:rPr>
                <w:rFonts w:asciiTheme="minorEastAsia" w:eastAsiaTheme="minorEastAsia" w:hAnsiTheme="minorEastAsia"/>
                <w:b/>
                <w:color w:val="000000"/>
                <w:sz w:val="24"/>
                <w:szCs w:val="24"/>
              </w:rPr>
            </w:pPr>
            <w:r w:rsidRPr="001506E2">
              <w:rPr>
                <w:rFonts w:asciiTheme="minorEastAsia" w:eastAsiaTheme="minorEastAsia" w:hAnsiTheme="minorEastAsia" w:cs="宋体" w:hint="eastAsia"/>
                <w:b/>
                <w:color w:val="000000"/>
                <w:sz w:val="24"/>
                <w:szCs w:val="24"/>
              </w:rPr>
              <w:t>（如有）</w:t>
            </w:r>
          </w:p>
        </w:tc>
        <w:tc>
          <w:tcPr>
            <w:tcW w:w="7371" w:type="dxa"/>
            <w:gridSpan w:val="3"/>
          </w:tcPr>
          <w:p w:rsidR="003D2C5D" w:rsidRPr="001506E2" w:rsidRDefault="003D2C5D" w:rsidP="001506E2">
            <w:pPr>
              <w:spacing w:line="400" w:lineRule="exact"/>
              <w:ind w:firstLineChars="200" w:firstLine="480"/>
              <w:rPr>
                <w:rFonts w:asciiTheme="minorEastAsia" w:eastAsiaTheme="minorEastAsia" w:hAnsiTheme="minorEastAsia"/>
                <w:color w:val="000000"/>
                <w:sz w:val="24"/>
                <w:szCs w:val="24"/>
              </w:rPr>
            </w:pPr>
            <w:bookmarkStart w:id="0" w:name="_GoBack"/>
            <w:bookmarkEnd w:id="0"/>
          </w:p>
        </w:tc>
      </w:tr>
    </w:tbl>
    <w:p w:rsidR="002327DB" w:rsidRPr="001506E2" w:rsidRDefault="002327DB" w:rsidP="00701FFD">
      <w:pPr>
        <w:rPr>
          <w:rFonts w:asciiTheme="minorEastAsia" w:eastAsiaTheme="minorEastAsia" w:hAnsiTheme="minorEastAsia"/>
          <w:sz w:val="24"/>
          <w:szCs w:val="24"/>
        </w:rPr>
      </w:pPr>
    </w:p>
    <w:sectPr w:rsidR="002327DB" w:rsidRPr="001506E2" w:rsidSect="00701FFD">
      <w:pgSz w:w="11906" w:h="16838"/>
      <w:pgMar w:top="284" w:right="1797" w:bottom="99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A7B" w:rsidRDefault="009D5A7B" w:rsidP="001506E2">
      <w:r>
        <w:separator/>
      </w:r>
    </w:p>
  </w:endnote>
  <w:endnote w:type="continuationSeparator" w:id="0">
    <w:p w:rsidR="009D5A7B" w:rsidRDefault="009D5A7B" w:rsidP="001506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A7B" w:rsidRDefault="009D5A7B" w:rsidP="001506E2">
      <w:r>
        <w:separator/>
      </w:r>
    </w:p>
  </w:footnote>
  <w:footnote w:type="continuationSeparator" w:id="0">
    <w:p w:rsidR="009D5A7B" w:rsidRDefault="009D5A7B" w:rsidP="001506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2C5D"/>
    <w:rsid w:val="00053E62"/>
    <w:rsid w:val="00091987"/>
    <w:rsid w:val="000A443E"/>
    <w:rsid w:val="000C2F9D"/>
    <w:rsid w:val="000F7452"/>
    <w:rsid w:val="000F7C5B"/>
    <w:rsid w:val="001506E2"/>
    <w:rsid w:val="00153A99"/>
    <w:rsid w:val="001937FD"/>
    <w:rsid w:val="001E3737"/>
    <w:rsid w:val="00207EB7"/>
    <w:rsid w:val="002327DB"/>
    <w:rsid w:val="0024411E"/>
    <w:rsid w:val="00251B74"/>
    <w:rsid w:val="00274ABF"/>
    <w:rsid w:val="002E7667"/>
    <w:rsid w:val="002F2FE2"/>
    <w:rsid w:val="003147AC"/>
    <w:rsid w:val="00322517"/>
    <w:rsid w:val="0037793F"/>
    <w:rsid w:val="003D2C5D"/>
    <w:rsid w:val="003E03B0"/>
    <w:rsid w:val="003E733C"/>
    <w:rsid w:val="004142F0"/>
    <w:rsid w:val="004671DB"/>
    <w:rsid w:val="00487344"/>
    <w:rsid w:val="00490B4C"/>
    <w:rsid w:val="004B3E26"/>
    <w:rsid w:val="004C3869"/>
    <w:rsid w:val="00556220"/>
    <w:rsid w:val="005D1978"/>
    <w:rsid w:val="005D481A"/>
    <w:rsid w:val="00634113"/>
    <w:rsid w:val="00652788"/>
    <w:rsid w:val="006F2EF1"/>
    <w:rsid w:val="00701FFD"/>
    <w:rsid w:val="0079682B"/>
    <w:rsid w:val="0085208E"/>
    <w:rsid w:val="008537C0"/>
    <w:rsid w:val="00897849"/>
    <w:rsid w:val="00935B04"/>
    <w:rsid w:val="009D5A7B"/>
    <w:rsid w:val="00A13F86"/>
    <w:rsid w:val="00A7059E"/>
    <w:rsid w:val="00A91865"/>
    <w:rsid w:val="00AF4428"/>
    <w:rsid w:val="00B4691A"/>
    <w:rsid w:val="00BE4477"/>
    <w:rsid w:val="00C4033B"/>
    <w:rsid w:val="00C72F46"/>
    <w:rsid w:val="00C7362F"/>
    <w:rsid w:val="00CA0255"/>
    <w:rsid w:val="00CB61DE"/>
    <w:rsid w:val="00CF0A8F"/>
    <w:rsid w:val="00D03E5F"/>
    <w:rsid w:val="00D3560D"/>
    <w:rsid w:val="00E0406B"/>
    <w:rsid w:val="00EC5A68"/>
    <w:rsid w:val="00F30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5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50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506E2"/>
    <w:rPr>
      <w:rFonts w:ascii="Times New Roman" w:eastAsia="宋体" w:hAnsi="Times New Roman" w:cs="Times New Roman"/>
      <w:sz w:val="18"/>
      <w:szCs w:val="18"/>
    </w:rPr>
  </w:style>
  <w:style w:type="paragraph" w:styleId="a5">
    <w:name w:val="footer"/>
    <w:basedOn w:val="a"/>
    <w:link w:val="Char0"/>
    <w:uiPriority w:val="99"/>
    <w:unhideWhenUsed/>
    <w:rsid w:val="001506E2"/>
    <w:pPr>
      <w:tabs>
        <w:tab w:val="center" w:pos="4153"/>
        <w:tab w:val="right" w:pos="8306"/>
      </w:tabs>
      <w:snapToGrid w:val="0"/>
      <w:jc w:val="left"/>
    </w:pPr>
    <w:rPr>
      <w:sz w:val="18"/>
      <w:szCs w:val="18"/>
    </w:rPr>
  </w:style>
  <w:style w:type="character" w:customStyle="1" w:styleId="Char0">
    <w:name w:val="页脚 Char"/>
    <w:basedOn w:val="a0"/>
    <w:link w:val="a5"/>
    <w:uiPriority w:val="99"/>
    <w:rsid w:val="001506E2"/>
    <w:rPr>
      <w:rFonts w:ascii="Times New Roman" w:eastAsia="宋体" w:hAnsi="Times New Roman" w:cs="Times New Roman"/>
      <w:sz w:val="18"/>
      <w:szCs w:val="18"/>
    </w:rPr>
  </w:style>
  <w:style w:type="paragraph" w:styleId="a6">
    <w:name w:val="Balloon Text"/>
    <w:basedOn w:val="a"/>
    <w:link w:val="Char1"/>
    <w:uiPriority w:val="99"/>
    <w:semiHidden/>
    <w:unhideWhenUsed/>
    <w:rsid w:val="001E3737"/>
    <w:rPr>
      <w:sz w:val="18"/>
      <w:szCs w:val="18"/>
    </w:rPr>
  </w:style>
  <w:style w:type="character" w:customStyle="1" w:styleId="Char1">
    <w:name w:val="批注框文本 Char"/>
    <w:basedOn w:val="a0"/>
    <w:link w:val="a6"/>
    <w:uiPriority w:val="99"/>
    <w:semiHidden/>
    <w:rsid w:val="001E373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473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2014-05-14T04:08:00Z</cp:lastPrinted>
  <dcterms:created xsi:type="dcterms:W3CDTF">2013-01-28T02:14:00Z</dcterms:created>
  <dcterms:modified xsi:type="dcterms:W3CDTF">2018-05-03T08:03:00Z</dcterms:modified>
</cp:coreProperties>
</file>