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33" w:rsidRPr="009A6D7E" w:rsidRDefault="00557E33" w:rsidP="00557E33">
      <w:pPr>
        <w:adjustRightInd w:val="0"/>
        <w:snapToGrid w:val="0"/>
        <w:spacing w:line="300" w:lineRule="auto"/>
        <w:ind w:leftChars="-103" w:left="-216"/>
        <w:jc w:val="center"/>
        <w:rPr>
          <w:rFonts w:ascii="宋体" w:hAnsi="宋体"/>
          <w:b/>
          <w:sz w:val="32"/>
          <w:szCs w:val="32"/>
        </w:rPr>
      </w:pPr>
      <w:r w:rsidRPr="009A6D7E">
        <w:rPr>
          <w:rFonts w:ascii="宋体" w:hAnsi="宋体" w:hint="eastAsia"/>
          <w:b/>
          <w:sz w:val="32"/>
          <w:szCs w:val="32"/>
        </w:rPr>
        <w:t>福建天马科技集团股份有限公司</w:t>
      </w:r>
    </w:p>
    <w:p w:rsidR="00557E33" w:rsidRPr="009A6D7E" w:rsidRDefault="00557E33" w:rsidP="00557E33">
      <w:pPr>
        <w:adjustRightInd w:val="0"/>
        <w:snapToGrid w:val="0"/>
        <w:spacing w:line="300" w:lineRule="auto"/>
        <w:ind w:leftChars="-103" w:left="-216"/>
        <w:jc w:val="center"/>
        <w:rPr>
          <w:rFonts w:ascii="宋体" w:cs="宋体"/>
          <w:b/>
          <w:bCs/>
          <w:kern w:val="0"/>
          <w:sz w:val="32"/>
          <w:szCs w:val="32"/>
        </w:rPr>
      </w:pPr>
      <w:r w:rsidRPr="009A6D7E">
        <w:rPr>
          <w:rFonts w:ascii="宋体" w:cs="宋体" w:hint="eastAsia"/>
          <w:b/>
          <w:bCs/>
          <w:kern w:val="0"/>
          <w:sz w:val="32"/>
          <w:szCs w:val="32"/>
        </w:rPr>
        <w:t>接待调研、沟通、采访等活动</w:t>
      </w:r>
      <w:r w:rsidR="000537DE">
        <w:rPr>
          <w:rFonts w:ascii="宋体" w:cs="宋体" w:hint="eastAsia"/>
          <w:b/>
          <w:bCs/>
          <w:kern w:val="0"/>
          <w:sz w:val="32"/>
          <w:szCs w:val="32"/>
        </w:rPr>
        <w:t>记录</w:t>
      </w:r>
      <w:r w:rsidRPr="009A6D7E">
        <w:rPr>
          <w:rFonts w:ascii="宋体" w:cs="宋体" w:hint="eastAsia"/>
          <w:b/>
          <w:bCs/>
          <w:kern w:val="0"/>
          <w:sz w:val="32"/>
          <w:szCs w:val="32"/>
        </w:rPr>
        <w:t>表</w:t>
      </w:r>
    </w:p>
    <w:p w:rsidR="00557E33" w:rsidRPr="00A71E1F" w:rsidRDefault="00557E33" w:rsidP="00557E33">
      <w:pPr>
        <w:adjustRightInd w:val="0"/>
        <w:snapToGrid w:val="0"/>
        <w:spacing w:line="300" w:lineRule="auto"/>
        <w:jc w:val="center"/>
        <w:rPr>
          <w:rFonts w:ascii="宋体" w:hAnsi="宋体" w:cs="宋体"/>
          <w:b/>
          <w:sz w:val="24"/>
        </w:rPr>
      </w:pPr>
    </w:p>
    <w:tbl>
      <w:tblPr>
        <w:tblStyle w:val="a5"/>
        <w:tblW w:w="11085" w:type="dxa"/>
        <w:jc w:val="center"/>
        <w:tblInd w:w="-1519" w:type="dxa"/>
        <w:tblLook w:val="01E0"/>
      </w:tblPr>
      <w:tblGrid>
        <w:gridCol w:w="1544"/>
        <w:gridCol w:w="3295"/>
        <w:gridCol w:w="1723"/>
        <w:gridCol w:w="4523"/>
      </w:tblGrid>
      <w:tr w:rsidR="00557E33" w:rsidTr="005A0DE1">
        <w:trPr>
          <w:trHeight w:val="589"/>
          <w:jc w:val="center"/>
        </w:trPr>
        <w:tc>
          <w:tcPr>
            <w:tcW w:w="1544" w:type="dxa"/>
            <w:vAlign w:val="center"/>
          </w:tcPr>
          <w:p w:rsidR="00557E33" w:rsidRDefault="00557E33" w:rsidP="004F0D58">
            <w:pPr>
              <w:jc w:val="center"/>
              <w:rPr>
                <w:rFonts w:ascii="宋体" w:hAnsi="宋体"/>
                <w:b/>
                <w:sz w:val="24"/>
              </w:rPr>
            </w:pPr>
            <w:r>
              <w:rPr>
                <w:rFonts w:ascii="宋体" w:hAnsi="宋体" w:hint="eastAsia"/>
                <w:b/>
                <w:sz w:val="24"/>
              </w:rPr>
              <w:t>接待时间</w:t>
            </w:r>
          </w:p>
        </w:tc>
        <w:tc>
          <w:tcPr>
            <w:tcW w:w="3295" w:type="dxa"/>
            <w:vAlign w:val="center"/>
          </w:tcPr>
          <w:p w:rsidR="00557E33" w:rsidRPr="0028477D" w:rsidRDefault="009248E0" w:rsidP="000E66C9">
            <w:pPr>
              <w:jc w:val="center"/>
              <w:rPr>
                <w:sz w:val="24"/>
              </w:rPr>
            </w:pPr>
            <w:r w:rsidRPr="0028477D">
              <w:rPr>
                <w:sz w:val="24"/>
              </w:rPr>
              <w:t>201</w:t>
            </w:r>
            <w:r w:rsidR="008D1EFF">
              <w:rPr>
                <w:rFonts w:hint="eastAsia"/>
                <w:sz w:val="24"/>
              </w:rPr>
              <w:t>8</w:t>
            </w:r>
            <w:r w:rsidRPr="0028477D">
              <w:rPr>
                <w:rFonts w:hAnsi="宋体"/>
                <w:sz w:val="24"/>
              </w:rPr>
              <w:t>年</w:t>
            </w:r>
            <w:r w:rsidR="000E66C9">
              <w:rPr>
                <w:rFonts w:hint="eastAsia"/>
                <w:sz w:val="24"/>
              </w:rPr>
              <w:t>6</w:t>
            </w:r>
            <w:r w:rsidRPr="0028477D">
              <w:rPr>
                <w:rFonts w:hAnsi="宋体"/>
                <w:sz w:val="24"/>
              </w:rPr>
              <w:t>月</w:t>
            </w:r>
            <w:r w:rsidR="000E66C9">
              <w:rPr>
                <w:rFonts w:hint="eastAsia"/>
                <w:sz w:val="24"/>
              </w:rPr>
              <w:t>6</w:t>
            </w:r>
            <w:r w:rsidRPr="0028477D">
              <w:rPr>
                <w:rFonts w:hAnsi="宋体"/>
                <w:sz w:val="24"/>
              </w:rPr>
              <w:t>日</w:t>
            </w:r>
            <w:r w:rsidR="000E66C9">
              <w:rPr>
                <w:rFonts w:hint="eastAsia"/>
                <w:sz w:val="24"/>
              </w:rPr>
              <w:t>14</w:t>
            </w:r>
            <w:r w:rsidRPr="0028477D">
              <w:rPr>
                <w:sz w:val="24"/>
              </w:rPr>
              <w:t>:</w:t>
            </w:r>
            <w:r w:rsidR="000E66C9">
              <w:rPr>
                <w:rFonts w:hint="eastAsia"/>
                <w:sz w:val="24"/>
              </w:rPr>
              <w:t>5</w:t>
            </w:r>
            <w:r w:rsidR="005D10B3">
              <w:rPr>
                <w:rFonts w:hint="eastAsia"/>
                <w:sz w:val="24"/>
              </w:rPr>
              <w:t>0</w:t>
            </w:r>
            <w:r w:rsidRPr="0028477D">
              <w:rPr>
                <w:rFonts w:hAnsi="宋体"/>
                <w:sz w:val="24"/>
              </w:rPr>
              <w:t>至</w:t>
            </w:r>
            <w:r w:rsidRPr="0028477D">
              <w:rPr>
                <w:sz w:val="24"/>
              </w:rPr>
              <w:t>1</w:t>
            </w:r>
            <w:r w:rsidR="000E66C9">
              <w:rPr>
                <w:rFonts w:hint="eastAsia"/>
                <w:sz w:val="24"/>
              </w:rPr>
              <w:t>6</w:t>
            </w:r>
            <w:r w:rsidRPr="0028477D">
              <w:rPr>
                <w:sz w:val="24"/>
              </w:rPr>
              <w:t>:</w:t>
            </w:r>
            <w:r w:rsidR="000E66C9">
              <w:rPr>
                <w:rFonts w:hint="eastAsia"/>
                <w:sz w:val="24"/>
              </w:rPr>
              <w:t>5</w:t>
            </w:r>
            <w:r w:rsidRPr="0028477D">
              <w:rPr>
                <w:sz w:val="24"/>
              </w:rPr>
              <w:t>0</w:t>
            </w:r>
          </w:p>
        </w:tc>
        <w:tc>
          <w:tcPr>
            <w:tcW w:w="1723" w:type="dxa"/>
            <w:vAlign w:val="center"/>
          </w:tcPr>
          <w:p w:rsidR="00557E33" w:rsidRPr="0028477D" w:rsidRDefault="00557E33" w:rsidP="004F0D58">
            <w:pPr>
              <w:jc w:val="center"/>
              <w:rPr>
                <w:rFonts w:ascii="宋体" w:hAnsi="宋体"/>
                <w:b/>
                <w:sz w:val="24"/>
              </w:rPr>
            </w:pPr>
            <w:r w:rsidRPr="0028477D">
              <w:rPr>
                <w:rFonts w:ascii="宋体" w:hAnsi="宋体" w:hint="eastAsia"/>
                <w:b/>
                <w:sz w:val="24"/>
              </w:rPr>
              <w:t>接待地点</w:t>
            </w:r>
          </w:p>
        </w:tc>
        <w:tc>
          <w:tcPr>
            <w:tcW w:w="4523" w:type="dxa"/>
            <w:vAlign w:val="center"/>
          </w:tcPr>
          <w:p w:rsidR="00557E33" w:rsidRPr="0028477D" w:rsidRDefault="00484398" w:rsidP="000E66C9">
            <w:pPr>
              <w:jc w:val="center"/>
              <w:rPr>
                <w:rFonts w:ascii="宋体" w:hAnsi="宋体"/>
                <w:sz w:val="24"/>
              </w:rPr>
            </w:pPr>
            <w:r>
              <w:rPr>
                <w:rFonts w:ascii="宋体" w:hAnsi="宋体" w:hint="eastAsia"/>
                <w:sz w:val="24"/>
              </w:rPr>
              <w:t>公司</w:t>
            </w:r>
            <w:r w:rsidR="000E66C9">
              <w:rPr>
                <w:rFonts w:ascii="宋体" w:hAnsi="宋体" w:hint="eastAsia"/>
                <w:sz w:val="24"/>
              </w:rPr>
              <w:t>二</w:t>
            </w:r>
            <w:r>
              <w:rPr>
                <w:rFonts w:ascii="宋体" w:hAnsi="宋体" w:hint="eastAsia"/>
                <w:sz w:val="24"/>
              </w:rPr>
              <w:t>楼</w:t>
            </w:r>
            <w:r w:rsidR="005D10B3">
              <w:rPr>
                <w:rFonts w:ascii="宋体" w:hAnsi="宋体" w:hint="eastAsia"/>
                <w:sz w:val="24"/>
              </w:rPr>
              <w:t>会议室</w:t>
            </w:r>
          </w:p>
        </w:tc>
      </w:tr>
      <w:tr w:rsidR="00557E33" w:rsidTr="005A0DE1">
        <w:trPr>
          <w:trHeight w:val="1005"/>
          <w:jc w:val="center"/>
        </w:trPr>
        <w:tc>
          <w:tcPr>
            <w:tcW w:w="1544" w:type="dxa"/>
            <w:vAlign w:val="center"/>
          </w:tcPr>
          <w:p w:rsidR="00557E33" w:rsidRDefault="00557E33" w:rsidP="004F0D58">
            <w:pPr>
              <w:jc w:val="center"/>
              <w:rPr>
                <w:rFonts w:ascii="宋体" w:hAnsi="宋体"/>
                <w:b/>
                <w:sz w:val="24"/>
              </w:rPr>
            </w:pPr>
            <w:r>
              <w:rPr>
                <w:rFonts w:ascii="宋体" w:hAnsi="宋体" w:hint="eastAsia"/>
                <w:b/>
                <w:sz w:val="24"/>
              </w:rPr>
              <w:t>公司接待人</w:t>
            </w:r>
          </w:p>
        </w:tc>
        <w:tc>
          <w:tcPr>
            <w:tcW w:w="9541" w:type="dxa"/>
            <w:gridSpan w:val="3"/>
            <w:vAlign w:val="center"/>
          </w:tcPr>
          <w:p w:rsidR="00557E33" w:rsidRPr="0028477D" w:rsidRDefault="00484398" w:rsidP="00BD1388">
            <w:pPr>
              <w:jc w:val="left"/>
              <w:rPr>
                <w:rFonts w:ascii="宋体" w:hAnsi="宋体"/>
                <w:sz w:val="24"/>
              </w:rPr>
            </w:pPr>
            <w:r>
              <w:rPr>
                <w:rFonts w:ascii="宋体" w:hAnsi="宋体" w:hint="eastAsia"/>
                <w:sz w:val="24"/>
              </w:rPr>
              <w:t>副总经理、</w:t>
            </w:r>
            <w:r w:rsidR="009248E0" w:rsidRPr="0028477D">
              <w:rPr>
                <w:rFonts w:ascii="宋体" w:hAnsi="宋体" w:hint="eastAsia"/>
                <w:sz w:val="24"/>
              </w:rPr>
              <w:t>董</w:t>
            </w:r>
            <w:r>
              <w:rPr>
                <w:rFonts w:ascii="宋体" w:hAnsi="宋体" w:hint="eastAsia"/>
                <w:sz w:val="24"/>
              </w:rPr>
              <w:t>事会秘书</w:t>
            </w:r>
            <w:r w:rsidR="009248E0" w:rsidRPr="0028477D">
              <w:rPr>
                <w:rFonts w:ascii="宋体" w:hAnsi="宋体" w:hint="eastAsia"/>
                <w:sz w:val="24"/>
              </w:rPr>
              <w:t>陈延嗣</w:t>
            </w:r>
            <w:r>
              <w:rPr>
                <w:rFonts w:ascii="宋体" w:hAnsi="宋体" w:hint="eastAsia"/>
                <w:sz w:val="24"/>
              </w:rPr>
              <w:t>；证券事务代表戴文增</w:t>
            </w:r>
            <w:r w:rsidR="00AE0A5F">
              <w:rPr>
                <w:rFonts w:ascii="宋体" w:hAnsi="宋体" w:hint="eastAsia"/>
                <w:sz w:val="24"/>
              </w:rPr>
              <w:t>；证券事务代表助理李佳君、林宗雄。</w:t>
            </w:r>
          </w:p>
        </w:tc>
      </w:tr>
      <w:tr w:rsidR="00557E33" w:rsidTr="005A0DE1">
        <w:trPr>
          <w:trHeight w:val="4427"/>
          <w:jc w:val="center"/>
        </w:trPr>
        <w:tc>
          <w:tcPr>
            <w:tcW w:w="1544" w:type="dxa"/>
            <w:vAlign w:val="center"/>
          </w:tcPr>
          <w:p w:rsidR="00557E33" w:rsidRDefault="00557E33" w:rsidP="004F0D58">
            <w:pPr>
              <w:jc w:val="center"/>
              <w:rPr>
                <w:rFonts w:ascii="宋体" w:hAnsi="宋体"/>
                <w:b/>
                <w:sz w:val="24"/>
              </w:rPr>
            </w:pPr>
            <w:r>
              <w:rPr>
                <w:rFonts w:ascii="宋体" w:hAnsi="宋体" w:hint="eastAsia"/>
                <w:b/>
                <w:sz w:val="24"/>
              </w:rPr>
              <w:t>接待对象</w:t>
            </w:r>
          </w:p>
        </w:tc>
        <w:tc>
          <w:tcPr>
            <w:tcW w:w="9541" w:type="dxa"/>
            <w:gridSpan w:val="3"/>
            <w:vAlign w:val="center"/>
          </w:tcPr>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827"/>
              <w:gridCol w:w="3402"/>
              <w:gridCol w:w="1650"/>
            </w:tblGrid>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1</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权益投资部</w:t>
                  </w:r>
                  <w:r w:rsidRPr="005A0DE1">
                    <w:rPr>
                      <w:color w:val="000000"/>
                      <w:kern w:val="0"/>
                      <w:sz w:val="22"/>
                      <w:szCs w:val="22"/>
                    </w:rPr>
                    <w:t xml:space="preserve"> </w:t>
                  </w:r>
                  <w:r w:rsidRPr="005A0DE1">
                    <w:rPr>
                      <w:rFonts w:hAnsi="宋体"/>
                      <w:color w:val="000000"/>
                      <w:kern w:val="0"/>
                      <w:sz w:val="22"/>
                      <w:szCs w:val="22"/>
                    </w:rPr>
                    <w:t>部门总经理</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proofErr w:type="gramStart"/>
                  <w:r w:rsidRPr="005A0DE1">
                    <w:rPr>
                      <w:rFonts w:hAnsi="宋体"/>
                      <w:color w:val="000000"/>
                      <w:kern w:val="0"/>
                      <w:sz w:val="22"/>
                      <w:szCs w:val="22"/>
                    </w:rPr>
                    <w:t>张延闽</w:t>
                  </w:r>
                  <w:proofErr w:type="gramEnd"/>
                </w:p>
              </w:tc>
            </w:tr>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2</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权益投资部</w:t>
                  </w:r>
                  <w:r w:rsidRPr="005A0DE1">
                    <w:rPr>
                      <w:color w:val="000000"/>
                      <w:kern w:val="0"/>
                      <w:sz w:val="22"/>
                      <w:szCs w:val="22"/>
                    </w:rPr>
                    <w:t xml:space="preserve"> </w:t>
                  </w:r>
                  <w:r w:rsidRPr="005A0DE1">
                    <w:rPr>
                      <w:rFonts w:hAnsi="宋体"/>
                      <w:color w:val="000000"/>
                      <w:kern w:val="0"/>
                      <w:sz w:val="22"/>
                      <w:szCs w:val="22"/>
                    </w:rPr>
                    <w:t>基金经理</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伍文友</w:t>
                  </w:r>
                </w:p>
              </w:tc>
            </w:tr>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3</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研究策划部</w:t>
                  </w:r>
                  <w:r w:rsidRPr="005A0DE1">
                    <w:rPr>
                      <w:color w:val="000000"/>
                      <w:kern w:val="0"/>
                      <w:sz w:val="22"/>
                      <w:szCs w:val="22"/>
                    </w:rPr>
                    <w:t xml:space="preserve"> </w:t>
                  </w:r>
                  <w:r w:rsidRPr="005A0DE1">
                    <w:rPr>
                      <w:rFonts w:hAnsi="宋体"/>
                      <w:color w:val="000000"/>
                      <w:kern w:val="0"/>
                      <w:sz w:val="22"/>
                      <w:szCs w:val="22"/>
                    </w:rPr>
                    <w:t>基金经理、</w:t>
                  </w:r>
                  <w:r w:rsidRPr="005A0DE1">
                    <w:rPr>
                      <w:color w:val="000000"/>
                      <w:kern w:val="0"/>
                      <w:sz w:val="22"/>
                      <w:szCs w:val="22"/>
                    </w:rPr>
                    <w:t>TMT</w:t>
                  </w:r>
                  <w:r w:rsidRPr="005A0DE1">
                    <w:rPr>
                      <w:rFonts w:hAnsi="宋体"/>
                      <w:color w:val="000000"/>
                      <w:kern w:val="0"/>
                      <w:sz w:val="22"/>
                      <w:szCs w:val="22"/>
                    </w:rPr>
                    <w:t>组长</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林清源</w:t>
                  </w:r>
                </w:p>
              </w:tc>
            </w:tr>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4</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研究策划部</w:t>
                  </w:r>
                  <w:r w:rsidRPr="005A0DE1">
                    <w:rPr>
                      <w:color w:val="000000"/>
                      <w:kern w:val="0"/>
                      <w:sz w:val="22"/>
                      <w:szCs w:val="22"/>
                    </w:rPr>
                    <w:t xml:space="preserve"> </w:t>
                  </w:r>
                  <w:r w:rsidRPr="005A0DE1">
                    <w:rPr>
                      <w:rFonts w:hAnsi="宋体"/>
                      <w:color w:val="000000"/>
                      <w:kern w:val="0"/>
                      <w:sz w:val="22"/>
                      <w:szCs w:val="22"/>
                    </w:rPr>
                    <w:t>基金经理</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薛冀颖</w:t>
                  </w:r>
                </w:p>
              </w:tc>
            </w:tr>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5</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研究策划部</w:t>
                  </w:r>
                  <w:r w:rsidRPr="005A0DE1">
                    <w:rPr>
                      <w:color w:val="000000"/>
                      <w:kern w:val="0"/>
                      <w:sz w:val="22"/>
                      <w:szCs w:val="22"/>
                    </w:rPr>
                    <w:t xml:space="preserve"> </w:t>
                  </w:r>
                  <w:r w:rsidRPr="005A0DE1">
                    <w:rPr>
                      <w:rFonts w:hAnsi="宋体"/>
                      <w:color w:val="000000"/>
                      <w:kern w:val="0"/>
                      <w:sz w:val="22"/>
                      <w:szCs w:val="22"/>
                    </w:rPr>
                    <w:t>基金经理</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彭炜</w:t>
                  </w:r>
                </w:p>
              </w:tc>
            </w:tr>
            <w:tr w:rsidR="005A0DE1" w:rsidRPr="005A0DE1" w:rsidTr="00807729">
              <w:trPr>
                <w:trHeight w:val="270"/>
              </w:trPr>
              <w:tc>
                <w:tcPr>
                  <w:tcW w:w="436" w:type="dxa"/>
                  <w:shd w:val="clear" w:color="auto" w:fill="auto"/>
                  <w:noWrap/>
                  <w:vAlign w:val="center"/>
                  <w:hideMark/>
                </w:tcPr>
                <w:p w:rsidR="005A0DE1" w:rsidRPr="005A0DE1" w:rsidRDefault="005A0DE1" w:rsidP="008D07C7">
                  <w:pPr>
                    <w:widowControl/>
                    <w:jc w:val="center"/>
                    <w:rPr>
                      <w:color w:val="000000"/>
                      <w:kern w:val="0"/>
                      <w:sz w:val="22"/>
                      <w:szCs w:val="22"/>
                    </w:rPr>
                  </w:pPr>
                  <w:r w:rsidRPr="005A0DE1">
                    <w:rPr>
                      <w:color w:val="000000"/>
                      <w:kern w:val="0"/>
                      <w:sz w:val="22"/>
                      <w:szCs w:val="22"/>
                    </w:rPr>
                    <w:t>6</w:t>
                  </w:r>
                </w:p>
              </w:tc>
              <w:tc>
                <w:tcPr>
                  <w:tcW w:w="3827"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研究策划部</w:t>
                  </w:r>
                  <w:r w:rsidRPr="005A0DE1">
                    <w:rPr>
                      <w:color w:val="000000"/>
                      <w:kern w:val="0"/>
                      <w:sz w:val="22"/>
                      <w:szCs w:val="22"/>
                    </w:rPr>
                    <w:t xml:space="preserve"> </w:t>
                  </w:r>
                  <w:r w:rsidRPr="005A0DE1">
                    <w:rPr>
                      <w:rFonts w:hAnsi="宋体"/>
                      <w:color w:val="000000"/>
                      <w:kern w:val="0"/>
                      <w:sz w:val="22"/>
                      <w:szCs w:val="22"/>
                    </w:rPr>
                    <w:t>行业研究员</w:t>
                  </w:r>
                </w:p>
              </w:tc>
              <w:tc>
                <w:tcPr>
                  <w:tcW w:w="1650" w:type="dxa"/>
                  <w:shd w:val="clear" w:color="auto" w:fill="auto"/>
                  <w:noWrap/>
                  <w:vAlign w:val="center"/>
                  <w:hideMark/>
                </w:tcPr>
                <w:p w:rsidR="005A0DE1" w:rsidRPr="005A0DE1" w:rsidRDefault="005A0DE1" w:rsidP="008D02E6">
                  <w:pPr>
                    <w:widowControl/>
                    <w:jc w:val="left"/>
                    <w:rPr>
                      <w:color w:val="000000"/>
                      <w:kern w:val="0"/>
                      <w:sz w:val="22"/>
                      <w:szCs w:val="22"/>
                    </w:rPr>
                  </w:pPr>
                  <w:r w:rsidRPr="005A0DE1">
                    <w:rPr>
                      <w:rFonts w:hAnsi="宋体"/>
                      <w:color w:val="000000"/>
                      <w:kern w:val="0"/>
                      <w:sz w:val="22"/>
                      <w:szCs w:val="22"/>
                    </w:rPr>
                    <w:t>苏林洁</w:t>
                  </w:r>
                </w:p>
              </w:tc>
            </w:tr>
            <w:tr w:rsidR="00807729" w:rsidRPr="005A0DE1" w:rsidTr="00807729">
              <w:trPr>
                <w:trHeight w:val="270"/>
              </w:trPr>
              <w:tc>
                <w:tcPr>
                  <w:tcW w:w="436" w:type="dxa"/>
                  <w:shd w:val="clear" w:color="auto" w:fill="auto"/>
                  <w:noWrap/>
                  <w:vAlign w:val="center"/>
                  <w:hideMark/>
                </w:tcPr>
                <w:p w:rsidR="00807729" w:rsidRPr="005A0DE1" w:rsidRDefault="00807729" w:rsidP="008D07C7">
                  <w:pPr>
                    <w:widowControl/>
                    <w:jc w:val="center"/>
                    <w:rPr>
                      <w:color w:val="000000"/>
                      <w:kern w:val="0"/>
                      <w:sz w:val="22"/>
                      <w:szCs w:val="22"/>
                    </w:rPr>
                  </w:pPr>
                  <w:r w:rsidRPr="005A0DE1">
                    <w:rPr>
                      <w:color w:val="000000"/>
                      <w:kern w:val="0"/>
                      <w:sz w:val="22"/>
                      <w:szCs w:val="22"/>
                    </w:rPr>
                    <w:t>7</w:t>
                  </w:r>
                </w:p>
              </w:tc>
              <w:tc>
                <w:tcPr>
                  <w:tcW w:w="3827" w:type="dxa"/>
                  <w:shd w:val="clear" w:color="auto" w:fill="auto"/>
                  <w:noWrap/>
                  <w:vAlign w:val="center"/>
                  <w:hideMark/>
                </w:tcPr>
                <w:p w:rsidR="00807729" w:rsidRPr="005A0DE1" w:rsidRDefault="00EA4109" w:rsidP="00EF548F">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807729" w:rsidRPr="005A0DE1" w:rsidRDefault="00EA4109" w:rsidP="00EF548F">
                  <w:pPr>
                    <w:widowControl/>
                    <w:jc w:val="left"/>
                    <w:rPr>
                      <w:rFonts w:hint="eastAsia"/>
                      <w:color w:val="000000"/>
                      <w:kern w:val="0"/>
                      <w:sz w:val="22"/>
                      <w:szCs w:val="22"/>
                    </w:rPr>
                  </w:pPr>
                  <w:r>
                    <w:rPr>
                      <w:rFonts w:hint="eastAsia"/>
                      <w:color w:val="000000"/>
                      <w:kern w:val="0"/>
                      <w:sz w:val="22"/>
                      <w:szCs w:val="22"/>
                    </w:rPr>
                    <w:t>基金经理</w:t>
                  </w:r>
                </w:p>
              </w:tc>
              <w:tc>
                <w:tcPr>
                  <w:tcW w:w="1650" w:type="dxa"/>
                  <w:shd w:val="clear" w:color="auto" w:fill="auto"/>
                  <w:noWrap/>
                  <w:vAlign w:val="center"/>
                  <w:hideMark/>
                </w:tcPr>
                <w:p w:rsidR="00807729" w:rsidRPr="005A0DE1" w:rsidRDefault="00EA4109" w:rsidP="00EF548F">
                  <w:pPr>
                    <w:widowControl/>
                    <w:jc w:val="left"/>
                    <w:rPr>
                      <w:color w:val="000000"/>
                      <w:kern w:val="0"/>
                      <w:sz w:val="22"/>
                      <w:szCs w:val="22"/>
                    </w:rPr>
                  </w:pPr>
                  <w:r>
                    <w:rPr>
                      <w:rFonts w:hint="eastAsia"/>
                      <w:color w:val="000000"/>
                      <w:kern w:val="0"/>
                      <w:sz w:val="22"/>
                      <w:szCs w:val="22"/>
                    </w:rPr>
                    <w:t>朱丹</w:t>
                  </w:r>
                </w:p>
              </w:tc>
            </w:tr>
            <w:tr w:rsidR="00807729" w:rsidRPr="005A0DE1" w:rsidTr="00807729">
              <w:trPr>
                <w:trHeight w:val="270"/>
              </w:trPr>
              <w:tc>
                <w:tcPr>
                  <w:tcW w:w="436" w:type="dxa"/>
                  <w:shd w:val="clear" w:color="auto" w:fill="auto"/>
                  <w:noWrap/>
                  <w:vAlign w:val="center"/>
                  <w:hideMark/>
                </w:tcPr>
                <w:p w:rsidR="00807729" w:rsidRPr="005A0DE1" w:rsidRDefault="00807729" w:rsidP="008D07C7">
                  <w:pPr>
                    <w:widowControl/>
                    <w:jc w:val="center"/>
                    <w:rPr>
                      <w:color w:val="000000"/>
                      <w:kern w:val="0"/>
                      <w:sz w:val="22"/>
                      <w:szCs w:val="22"/>
                    </w:rPr>
                  </w:pPr>
                  <w:r w:rsidRPr="005A0DE1">
                    <w:rPr>
                      <w:color w:val="000000"/>
                      <w:kern w:val="0"/>
                      <w:sz w:val="22"/>
                      <w:szCs w:val="22"/>
                    </w:rPr>
                    <w:t>8</w:t>
                  </w:r>
                </w:p>
              </w:tc>
              <w:tc>
                <w:tcPr>
                  <w:tcW w:w="3827" w:type="dxa"/>
                  <w:shd w:val="clear" w:color="auto" w:fill="auto"/>
                  <w:noWrap/>
                  <w:vAlign w:val="center"/>
                  <w:hideMark/>
                </w:tcPr>
                <w:p w:rsidR="00807729" w:rsidRPr="005A0DE1" w:rsidRDefault="00EA4109" w:rsidP="008D02E6">
                  <w:pPr>
                    <w:widowControl/>
                    <w:jc w:val="left"/>
                    <w:rPr>
                      <w:color w:val="000000"/>
                      <w:kern w:val="0"/>
                      <w:sz w:val="22"/>
                      <w:szCs w:val="22"/>
                    </w:rPr>
                  </w:pPr>
                  <w:r w:rsidRPr="005A0DE1">
                    <w:rPr>
                      <w:rFonts w:hAnsi="宋体"/>
                      <w:color w:val="000000"/>
                      <w:kern w:val="0"/>
                      <w:sz w:val="22"/>
                      <w:szCs w:val="22"/>
                    </w:rPr>
                    <w:t>融通基金管理有限公司</w:t>
                  </w:r>
                </w:p>
              </w:tc>
              <w:tc>
                <w:tcPr>
                  <w:tcW w:w="3402" w:type="dxa"/>
                  <w:shd w:val="clear" w:color="auto" w:fill="auto"/>
                  <w:noWrap/>
                  <w:vAlign w:val="center"/>
                  <w:hideMark/>
                </w:tcPr>
                <w:p w:rsidR="00807729" w:rsidRPr="005A0DE1" w:rsidRDefault="00EA4109" w:rsidP="008D02E6">
                  <w:pPr>
                    <w:widowControl/>
                    <w:jc w:val="left"/>
                    <w:rPr>
                      <w:color w:val="000000"/>
                      <w:kern w:val="0"/>
                      <w:sz w:val="22"/>
                      <w:szCs w:val="22"/>
                    </w:rPr>
                  </w:pPr>
                  <w:r>
                    <w:rPr>
                      <w:rFonts w:hint="eastAsia"/>
                      <w:color w:val="000000"/>
                      <w:kern w:val="0"/>
                      <w:sz w:val="22"/>
                      <w:szCs w:val="22"/>
                    </w:rPr>
                    <w:t>研究员</w:t>
                  </w:r>
                </w:p>
              </w:tc>
              <w:tc>
                <w:tcPr>
                  <w:tcW w:w="1650" w:type="dxa"/>
                  <w:shd w:val="clear" w:color="auto" w:fill="auto"/>
                  <w:noWrap/>
                  <w:vAlign w:val="center"/>
                  <w:hideMark/>
                </w:tcPr>
                <w:p w:rsidR="00807729" w:rsidRPr="005A0DE1" w:rsidRDefault="00EA4109" w:rsidP="008D02E6">
                  <w:pPr>
                    <w:widowControl/>
                    <w:jc w:val="left"/>
                    <w:rPr>
                      <w:color w:val="000000"/>
                      <w:kern w:val="0"/>
                      <w:sz w:val="22"/>
                      <w:szCs w:val="22"/>
                    </w:rPr>
                  </w:pPr>
                  <w:r>
                    <w:rPr>
                      <w:rFonts w:hint="eastAsia"/>
                      <w:color w:val="000000"/>
                      <w:kern w:val="0"/>
                      <w:sz w:val="22"/>
                      <w:szCs w:val="22"/>
                    </w:rPr>
                    <w:t>傅尧</w:t>
                  </w:r>
                </w:p>
              </w:tc>
            </w:tr>
            <w:tr w:rsidR="00EA4109" w:rsidRPr="005A0DE1" w:rsidTr="00807729">
              <w:trPr>
                <w:trHeight w:val="270"/>
              </w:trPr>
              <w:tc>
                <w:tcPr>
                  <w:tcW w:w="436" w:type="dxa"/>
                  <w:shd w:val="clear" w:color="auto" w:fill="auto"/>
                  <w:noWrap/>
                  <w:vAlign w:val="center"/>
                  <w:hideMark/>
                </w:tcPr>
                <w:p w:rsidR="00EA4109" w:rsidRPr="005A0DE1" w:rsidRDefault="00EA4109" w:rsidP="008D07C7">
                  <w:pPr>
                    <w:widowControl/>
                    <w:jc w:val="center"/>
                    <w:rPr>
                      <w:color w:val="000000"/>
                      <w:kern w:val="0"/>
                      <w:sz w:val="22"/>
                      <w:szCs w:val="22"/>
                    </w:rPr>
                  </w:pPr>
                  <w:r w:rsidRPr="005A0DE1">
                    <w:rPr>
                      <w:color w:val="000000"/>
                      <w:kern w:val="0"/>
                      <w:sz w:val="22"/>
                      <w:szCs w:val="22"/>
                    </w:rPr>
                    <w:t>9</w:t>
                  </w:r>
                </w:p>
              </w:tc>
              <w:tc>
                <w:tcPr>
                  <w:tcW w:w="3827" w:type="dxa"/>
                  <w:shd w:val="clear" w:color="auto" w:fill="auto"/>
                  <w:noWrap/>
                  <w:vAlign w:val="center"/>
                  <w:hideMark/>
                </w:tcPr>
                <w:p w:rsidR="00EA4109" w:rsidRPr="005A0DE1" w:rsidRDefault="00EA4109" w:rsidP="001C3F06">
                  <w:pPr>
                    <w:widowControl/>
                    <w:jc w:val="left"/>
                    <w:rPr>
                      <w:color w:val="000000"/>
                      <w:kern w:val="0"/>
                      <w:sz w:val="22"/>
                      <w:szCs w:val="22"/>
                    </w:rPr>
                  </w:pPr>
                  <w:r w:rsidRPr="005A0DE1">
                    <w:rPr>
                      <w:rFonts w:hAnsi="宋体"/>
                      <w:color w:val="000000"/>
                      <w:kern w:val="0"/>
                      <w:sz w:val="22"/>
                      <w:szCs w:val="22"/>
                    </w:rPr>
                    <w:t>日兴资产管理香港有限公司</w:t>
                  </w:r>
                </w:p>
              </w:tc>
              <w:tc>
                <w:tcPr>
                  <w:tcW w:w="3402" w:type="dxa"/>
                  <w:shd w:val="clear" w:color="auto" w:fill="auto"/>
                  <w:noWrap/>
                  <w:vAlign w:val="center"/>
                  <w:hideMark/>
                </w:tcPr>
                <w:p w:rsidR="00EA4109" w:rsidRPr="005A0DE1" w:rsidRDefault="00EA4109" w:rsidP="001C3F06">
                  <w:pPr>
                    <w:widowControl/>
                    <w:jc w:val="left"/>
                    <w:rPr>
                      <w:color w:val="000000"/>
                      <w:kern w:val="0"/>
                      <w:sz w:val="22"/>
                      <w:szCs w:val="22"/>
                    </w:rPr>
                  </w:pPr>
                  <w:r w:rsidRPr="005A0DE1">
                    <w:rPr>
                      <w:rFonts w:hAnsi="宋体"/>
                      <w:color w:val="000000"/>
                      <w:kern w:val="0"/>
                      <w:sz w:val="22"/>
                      <w:szCs w:val="22"/>
                    </w:rPr>
                    <w:t>大中华股票投资</w:t>
                  </w:r>
                  <w:r w:rsidRPr="005A0DE1">
                    <w:rPr>
                      <w:color w:val="000000"/>
                      <w:kern w:val="0"/>
                      <w:sz w:val="22"/>
                      <w:szCs w:val="22"/>
                    </w:rPr>
                    <w:t xml:space="preserve"> </w:t>
                  </w:r>
                  <w:r w:rsidRPr="005A0DE1">
                    <w:rPr>
                      <w:rFonts w:hAnsi="宋体"/>
                      <w:color w:val="000000"/>
                      <w:kern w:val="0"/>
                      <w:sz w:val="22"/>
                      <w:szCs w:val="22"/>
                    </w:rPr>
                    <w:t>基金经理</w:t>
                  </w:r>
                </w:p>
              </w:tc>
              <w:tc>
                <w:tcPr>
                  <w:tcW w:w="1650" w:type="dxa"/>
                  <w:shd w:val="clear" w:color="auto" w:fill="auto"/>
                  <w:noWrap/>
                  <w:vAlign w:val="center"/>
                  <w:hideMark/>
                </w:tcPr>
                <w:p w:rsidR="00EA4109" w:rsidRPr="005A0DE1" w:rsidRDefault="00EA4109" w:rsidP="001C3F06">
                  <w:pPr>
                    <w:widowControl/>
                    <w:jc w:val="left"/>
                    <w:rPr>
                      <w:color w:val="000000"/>
                      <w:kern w:val="0"/>
                      <w:sz w:val="22"/>
                      <w:szCs w:val="22"/>
                    </w:rPr>
                  </w:pPr>
                  <w:proofErr w:type="gramStart"/>
                  <w:r w:rsidRPr="005A0DE1">
                    <w:rPr>
                      <w:rFonts w:hAnsi="宋体"/>
                      <w:color w:val="000000"/>
                      <w:kern w:val="0"/>
                      <w:sz w:val="22"/>
                      <w:szCs w:val="22"/>
                    </w:rPr>
                    <w:t>杜毅忠</w:t>
                  </w:r>
                  <w:proofErr w:type="gramEnd"/>
                </w:p>
              </w:tc>
            </w:tr>
            <w:tr w:rsidR="00EA4109" w:rsidRPr="005A0DE1" w:rsidTr="00807729">
              <w:trPr>
                <w:trHeight w:val="270"/>
              </w:trPr>
              <w:tc>
                <w:tcPr>
                  <w:tcW w:w="436" w:type="dxa"/>
                  <w:shd w:val="clear" w:color="auto" w:fill="auto"/>
                  <w:noWrap/>
                  <w:vAlign w:val="center"/>
                  <w:hideMark/>
                </w:tcPr>
                <w:p w:rsidR="00EA4109" w:rsidRPr="005A0DE1" w:rsidRDefault="00EA4109" w:rsidP="008D07C7">
                  <w:pPr>
                    <w:widowControl/>
                    <w:jc w:val="center"/>
                    <w:rPr>
                      <w:color w:val="000000"/>
                      <w:kern w:val="0"/>
                      <w:sz w:val="22"/>
                      <w:szCs w:val="22"/>
                    </w:rPr>
                  </w:pPr>
                  <w:r w:rsidRPr="005A0DE1">
                    <w:rPr>
                      <w:color w:val="000000"/>
                      <w:kern w:val="0"/>
                      <w:sz w:val="22"/>
                      <w:szCs w:val="22"/>
                    </w:rPr>
                    <w:t>10</w:t>
                  </w:r>
                </w:p>
              </w:tc>
              <w:tc>
                <w:tcPr>
                  <w:tcW w:w="3827" w:type="dxa"/>
                  <w:shd w:val="clear" w:color="auto" w:fill="auto"/>
                  <w:noWrap/>
                  <w:vAlign w:val="center"/>
                  <w:hideMark/>
                </w:tcPr>
                <w:p w:rsidR="00EA4109" w:rsidRPr="005A0DE1" w:rsidRDefault="00EA4109" w:rsidP="001524BB">
                  <w:pPr>
                    <w:widowControl/>
                    <w:jc w:val="left"/>
                    <w:rPr>
                      <w:color w:val="000000"/>
                      <w:kern w:val="0"/>
                      <w:sz w:val="22"/>
                      <w:szCs w:val="22"/>
                    </w:rPr>
                  </w:pPr>
                  <w:r>
                    <w:rPr>
                      <w:rFonts w:hint="eastAsia"/>
                      <w:color w:val="000000"/>
                      <w:kern w:val="0"/>
                      <w:sz w:val="22"/>
                      <w:szCs w:val="22"/>
                    </w:rPr>
                    <w:t>兴业证券股份有限公司</w:t>
                  </w:r>
                </w:p>
              </w:tc>
              <w:tc>
                <w:tcPr>
                  <w:tcW w:w="3402" w:type="dxa"/>
                  <w:shd w:val="clear" w:color="auto" w:fill="auto"/>
                  <w:noWrap/>
                  <w:vAlign w:val="center"/>
                  <w:hideMark/>
                </w:tcPr>
                <w:p w:rsidR="00EA4109" w:rsidRPr="005A0DE1" w:rsidRDefault="00EA4109" w:rsidP="001524BB">
                  <w:pPr>
                    <w:widowControl/>
                    <w:jc w:val="left"/>
                    <w:rPr>
                      <w:color w:val="000000"/>
                      <w:kern w:val="0"/>
                      <w:sz w:val="22"/>
                      <w:szCs w:val="22"/>
                    </w:rPr>
                  </w:pPr>
                  <w:r>
                    <w:rPr>
                      <w:rFonts w:hint="eastAsia"/>
                      <w:color w:val="000000"/>
                      <w:kern w:val="0"/>
                      <w:sz w:val="22"/>
                      <w:szCs w:val="22"/>
                    </w:rPr>
                    <w:t>农林牧渔首席研究员</w:t>
                  </w:r>
                </w:p>
              </w:tc>
              <w:tc>
                <w:tcPr>
                  <w:tcW w:w="1650" w:type="dxa"/>
                  <w:shd w:val="clear" w:color="auto" w:fill="auto"/>
                  <w:noWrap/>
                  <w:vAlign w:val="center"/>
                  <w:hideMark/>
                </w:tcPr>
                <w:p w:rsidR="00EA4109" w:rsidRPr="005A0DE1" w:rsidRDefault="00EA4109" w:rsidP="001524BB">
                  <w:pPr>
                    <w:widowControl/>
                    <w:jc w:val="left"/>
                    <w:rPr>
                      <w:color w:val="000000"/>
                      <w:kern w:val="0"/>
                      <w:sz w:val="22"/>
                      <w:szCs w:val="22"/>
                    </w:rPr>
                  </w:pPr>
                  <w:r>
                    <w:rPr>
                      <w:rFonts w:hint="eastAsia"/>
                      <w:color w:val="000000"/>
                      <w:kern w:val="0"/>
                      <w:sz w:val="22"/>
                      <w:szCs w:val="22"/>
                    </w:rPr>
                    <w:t>陈娇</w:t>
                  </w:r>
                </w:p>
              </w:tc>
            </w:tr>
            <w:tr w:rsidR="00EA4109" w:rsidRPr="005A0DE1" w:rsidTr="00807729">
              <w:trPr>
                <w:trHeight w:val="270"/>
              </w:trPr>
              <w:tc>
                <w:tcPr>
                  <w:tcW w:w="436" w:type="dxa"/>
                  <w:shd w:val="clear" w:color="auto" w:fill="auto"/>
                  <w:noWrap/>
                  <w:vAlign w:val="center"/>
                  <w:hideMark/>
                </w:tcPr>
                <w:p w:rsidR="00EA4109" w:rsidRPr="005A0DE1" w:rsidRDefault="00EA4109" w:rsidP="008D07C7">
                  <w:pPr>
                    <w:widowControl/>
                    <w:jc w:val="center"/>
                    <w:rPr>
                      <w:color w:val="000000"/>
                      <w:kern w:val="0"/>
                      <w:sz w:val="22"/>
                      <w:szCs w:val="22"/>
                    </w:rPr>
                  </w:pPr>
                  <w:r w:rsidRPr="005A0DE1">
                    <w:rPr>
                      <w:color w:val="000000"/>
                      <w:kern w:val="0"/>
                      <w:sz w:val="22"/>
                      <w:szCs w:val="22"/>
                    </w:rPr>
                    <w:t>11</w:t>
                  </w:r>
                </w:p>
              </w:tc>
              <w:tc>
                <w:tcPr>
                  <w:tcW w:w="3827"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兴业证券股份有限公司</w:t>
                  </w:r>
                </w:p>
              </w:tc>
              <w:tc>
                <w:tcPr>
                  <w:tcW w:w="3402"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经济与金融研究院</w:t>
                  </w:r>
                  <w:r w:rsidRPr="005A0DE1">
                    <w:rPr>
                      <w:color w:val="000000"/>
                      <w:kern w:val="0"/>
                      <w:sz w:val="22"/>
                      <w:szCs w:val="22"/>
                    </w:rPr>
                    <w:t xml:space="preserve"> </w:t>
                  </w:r>
                  <w:r w:rsidRPr="005A0DE1">
                    <w:rPr>
                      <w:rFonts w:hAnsi="宋体"/>
                      <w:color w:val="000000"/>
                      <w:kern w:val="0"/>
                      <w:sz w:val="22"/>
                      <w:szCs w:val="22"/>
                    </w:rPr>
                    <w:t>销售经理</w:t>
                  </w:r>
                </w:p>
              </w:tc>
              <w:tc>
                <w:tcPr>
                  <w:tcW w:w="1650"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李昇</w:t>
                  </w:r>
                </w:p>
              </w:tc>
            </w:tr>
            <w:tr w:rsidR="00EA4109" w:rsidRPr="005A0DE1" w:rsidTr="00807729">
              <w:trPr>
                <w:trHeight w:val="270"/>
              </w:trPr>
              <w:tc>
                <w:tcPr>
                  <w:tcW w:w="436" w:type="dxa"/>
                  <w:shd w:val="clear" w:color="auto" w:fill="auto"/>
                  <w:noWrap/>
                  <w:vAlign w:val="center"/>
                  <w:hideMark/>
                </w:tcPr>
                <w:p w:rsidR="00EA4109" w:rsidRPr="005A0DE1" w:rsidRDefault="00EA4109" w:rsidP="008D07C7">
                  <w:pPr>
                    <w:widowControl/>
                    <w:jc w:val="center"/>
                    <w:rPr>
                      <w:color w:val="000000"/>
                      <w:kern w:val="0"/>
                      <w:sz w:val="22"/>
                      <w:szCs w:val="22"/>
                    </w:rPr>
                  </w:pPr>
                  <w:r w:rsidRPr="005A0DE1">
                    <w:rPr>
                      <w:color w:val="000000"/>
                      <w:kern w:val="0"/>
                      <w:sz w:val="22"/>
                      <w:szCs w:val="22"/>
                    </w:rPr>
                    <w:t>12</w:t>
                  </w:r>
                </w:p>
              </w:tc>
              <w:tc>
                <w:tcPr>
                  <w:tcW w:w="3827"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兴业证券股份有限公司</w:t>
                  </w:r>
                </w:p>
              </w:tc>
              <w:tc>
                <w:tcPr>
                  <w:tcW w:w="3402"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经济与金融研究院</w:t>
                  </w:r>
                  <w:r w:rsidRPr="005A0DE1">
                    <w:rPr>
                      <w:color w:val="000000"/>
                      <w:kern w:val="0"/>
                      <w:sz w:val="22"/>
                      <w:szCs w:val="22"/>
                    </w:rPr>
                    <w:t xml:space="preserve"> </w:t>
                  </w:r>
                  <w:r w:rsidRPr="005A0DE1">
                    <w:rPr>
                      <w:rFonts w:hAnsi="宋体"/>
                      <w:color w:val="000000"/>
                      <w:kern w:val="0"/>
                      <w:sz w:val="22"/>
                      <w:szCs w:val="22"/>
                    </w:rPr>
                    <w:t>策略分析师</w:t>
                  </w:r>
                </w:p>
              </w:tc>
              <w:tc>
                <w:tcPr>
                  <w:tcW w:w="1650" w:type="dxa"/>
                  <w:shd w:val="clear" w:color="auto" w:fill="auto"/>
                  <w:noWrap/>
                  <w:vAlign w:val="center"/>
                  <w:hideMark/>
                </w:tcPr>
                <w:p w:rsidR="00EA4109" w:rsidRPr="005A0DE1" w:rsidRDefault="00EA4109" w:rsidP="00BE39EF">
                  <w:pPr>
                    <w:widowControl/>
                    <w:jc w:val="left"/>
                    <w:rPr>
                      <w:color w:val="000000"/>
                      <w:kern w:val="0"/>
                      <w:sz w:val="22"/>
                      <w:szCs w:val="22"/>
                    </w:rPr>
                  </w:pPr>
                  <w:r w:rsidRPr="005A0DE1">
                    <w:rPr>
                      <w:rFonts w:hAnsi="宋体"/>
                      <w:color w:val="000000"/>
                      <w:kern w:val="0"/>
                      <w:sz w:val="22"/>
                      <w:szCs w:val="22"/>
                    </w:rPr>
                    <w:t>李美岑</w:t>
                  </w:r>
                </w:p>
              </w:tc>
            </w:tr>
          </w:tbl>
          <w:p w:rsidR="00557E33" w:rsidRPr="0028477D" w:rsidRDefault="00557E33" w:rsidP="006E3E98">
            <w:pPr>
              <w:jc w:val="left"/>
              <w:rPr>
                <w:rFonts w:ascii="宋体" w:hAnsi="宋体"/>
                <w:sz w:val="24"/>
              </w:rPr>
            </w:pPr>
          </w:p>
        </w:tc>
      </w:tr>
      <w:tr w:rsidR="00557E33" w:rsidRPr="00367C18" w:rsidTr="005A0DE1">
        <w:trPr>
          <w:trHeight w:val="2810"/>
          <w:jc w:val="center"/>
        </w:trPr>
        <w:tc>
          <w:tcPr>
            <w:tcW w:w="1544" w:type="dxa"/>
            <w:vAlign w:val="center"/>
          </w:tcPr>
          <w:p w:rsidR="00557E33" w:rsidRDefault="00557E33" w:rsidP="004F0D58">
            <w:pPr>
              <w:jc w:val="center"/>
              <w:rPr>
                <w:rFonts w:ascii="宋体" w:hAnsi="宋体"/>
                <w:b/>
                <w:sz w:val="24"/>
              </w:rPr>
            </w:pPr>
            <w:r>
              <w:rPr>
                <w:rFonts w:ascii="宋体" w:hAnsi="宋体" w:hint="eastAsia"/>
                <w:b/>
                <w:sz w:val="24"/>
              </w:rPr>
              <w:t>谈论的主要内容及提供的资料</w:t>
            </w:r>
          </w:p>
        </w:tc>
        <w:tc>
          <w:tcPr>
            <w:tcW w:w="9541" w:type="dxa"/>
            <w:gridSpan w:val="3"/>
            <w:vAlign w:val="center"/>
          </w:tcPr>
          <w:p w:rsidR="005A0DE1" w:rsidRPr="005F3E2D" w:rsidRDefault="00F21330" w:rsidP="005F3E2D">
            <w:pPr>
              <w:adjustRightInd w:val="0"/>
              <w:snapToGrid w:val="0"/>
              <w:spacing w:line="300" w:lineRule="auto"/>
              <w:ind w:firstLineChars="200" w:firstLine="480"/>
              <w:rPr>
                <w:rFonts w:eastAsiaTheme="minorEastAsia"/>
                <w:bCs/>
                <w:color w:val="000000" w:themeColor="text1"/>
                <w:sz w:val="24"/>
              </w:rPr>
            </w:pPr>
            <w:r w:rsidRPr="005F3E2D">
              <w:rPr>
                <w:rFonts w:eastAsiaTheme="minorEastAsia" w:hint="eastAsia"/>
                <w:bCs/>
                <w:color w:val="000000" w:themeColor="text1"/>
                <w:sz w:val="24"/>
              </w:rPr>
              <w:t>1</w:t>
            </w:r>
            <w:r w:rsidRPr="005F3E2D">
              <w:rPr>
                <w:rFonts w:eastAsiaTheme="minorEastAsia" w:hint="eastAsia"/>
                <w:bCs/>
                <w:color w:val="000000" w:themeColor="text1"/>
                <w:sz w:val="24"/>
              </w:rPr>
              <w:t>、</w:t>
            </w:r>
            <w:r w:rsidRPr="005F3E2D">
              <w:rPr>
                <w:rFonts w:eastAsiaTheme="minorEastAsia"/>
                <w:bCs/>
                <w:color w:val="000000" w:themeColor="text1"/>
                <w:sz w:val="24"/>
              </w:rPr>
              <w:t>公司及行业情况</w:t>
            </w:r>
            <w:r w:rsidR="003E2D0B" w:rsidRPr="005F3E2D">
              <w:rPr>
                <w:rFonts w:eastAsiaTheme="minorEastAsia"/>
                <w:bCs/>
                <w:color w:val="000000" w:themeColor="text1"/>
                <w:sz w:val="24"/>
              </w:rPr>
              <w:t>介绍</w:t>
            </w:r>
            <w:r w:rsidRPr="005F3E2D">
              <w:rPr>
                <w:rFonts w:eastAsiaTheme="minorEastAsia"/>
                <w:bCs/>
                <w:color w:val="000000" w:themeColor="text1"/>
                <w:sz w:val="24"/>
              </w:rPr>
              <w:t>：</w:t>
            </w:r>
          </w:p>
          <w:p w:rsidR="003E2D0B" w:rsidRPr="005F3E2D" w:rsidRDefault="003E2D0B" w:rsidP="005F3E2D">
            <w:pPr>
              <w:adjustRightInd w:val="0"/>
              <w:snapToGrid w:val="0"/>
              <w:spacing w:line="300" w:lineRule="auto"/>
              <w:ind w:firstLineChars="200" w:firstLine="480"/>
              <w:rPr>
                <w:rFonts w:eastAsiaTheme="minorEastAsia"/>
                <w:bCs/>
                <w:color w:val="000000" w:themeColor="text1"/>
                <w:sz w:val="24"/>
              </w:rPr>
            </w:pPr>
            <w:r w:rsidRPr="005F3E2D">
              <w:rPr>
                <w:rFonts w:eastAsiaTheme="minorEastAsia" w:hint="eastAsia"/>
                <w:bCs/>
                <w:color w:val="000000" w:themeColor="text1"/>
                <w:sz w:val="24"/>
              </w:rPr>
              <w:t>特种水产品是指营养价值高、经济效益好、养殖利润高、养殖规模相对较小、养殖技术含量高的水产品。随着水产品养殖技术的突破与进步、养殖规模的变化，特种水产品种类会发生一定的变化。根据现阶段水产品养殖现状，我国养殖的特种水产品种主要包括</w:t>
            </w:r>
            <w:proofErr w:type="gramStart"/>
            <w:r w:rsidRPr="005F3E2D">
              <w:rPr>
                <w:rFonts w:eastAsiaTheme="minorEastAsia" w:hint="eastAsia"/>
                <w:bCs/>
                <w:color w:val="000000" w:themeColor="text1"/>
                <w:sz w:val="24"/>
              </w:rPr>
              <w:t>鲍</w:t>
            </w:r>
            <w:proofErr w:type="gramEnd"/>
            <w:r w:rsidRPr="005F3E2D">
              <w:rPr>
                <w:rFonts w:eastAsiaTheme="minorEastAsia" w:hint="eastAsia"/>
                <w:bCs/>
                <w:color w:val="000000" w:themeColor="text1"/>
                <w:sz w:val="24"/>
              </w:rPr>
              <w:t>、海参、鳗鲡、鲟鱼、黄鳝、鲑鱼、鳟鱼、龟、鳖以及包括石斑鱼、卵形</w:t>
            </w:r>
            <w:proofErr w:type="gramStart"/>
            <w:r w:rsidRPr="005F3E2D">
              <w:rPr>
                <w:rFonts w:eastAsiaTheme="minorEastAsia" w:hint="eastAsia"/>
                <w:bCs/>
                <w:color w:val="000000" w:themeColor="text1"/>
                <w:sz w:val="24"/>
              </w:rPr>
              <w:t>鲳</w:t>
            </w:r>
            <w:proofErr w:type="gramEnd"/>
            <w:r w:rsidRPr="005F3E2D">
              <w:rPr>
                <w:rFonts w:eastAsiaTheme="minorEastAsia" w:hint="eastAsia"/>
                <w:bCs/>
                <w:color w:val="000000" w:themeColor="text1"/>
                <w:sz w:val="24"/>
              </w:rPr>
              <w:t>鲹、大黄鱼、</w:t>
            </w:r>
            <w:proofErr w:type="gramStart"/>
            <w:r w:rsidRPr="005F3E2D">
              <w:rPr>
                <w:rFonts w:eastAsiaTheme="minorEastAsia" w:hint="eastAsia"/>
                <w:bCs/>
                <w:color w:val="000000" w:themeColor="text1"/>
                <w:sz w:val="24"/>
              </w:rPr>
              <w:t>鲆鲽鳎</w:t>
            </w:r>
            <w:proofErr w:type="gramEnd"/>
            <w:r w:rsidRPr="005F3E2D">
              <w:rPr>
                <w:rFonts w:eastAsiaTheme="minorEastAsia" w:hint="eastAsia"/>
                <w:bCs/>
                <w:color w:val="000000" w:themeColor="text1"/>
                <w:sz w:val="24"/>
              </w:rPr>
              <w:t>类等在内的各种海水鱼。根据中国饲料工业协会有关数据及测算，我国特种水产配合饲料产量从</w:t>
            </w:r>
            <w:r w:rsidRPr="005F3E2D">
              <w:rPr>
                <w:rFonts w:eastAsiaTheme="minorEastAsia" w:hint="eastAsia"/>
                <w:bCs/>
                <w:color w:val="000000" w:themeColor="text1"/>
                <w:sz w:val="24"/>
              </w:rPr>
              <w:t>2006</w:t>
            </w:r>
            <w:r w:rsidRPr="005F3E2D">
              <w:rPr>
                <w:rFonts w:eastAsiaTheme="minorEastAsia" w:hint="eastAsia"/>
                <w:bCs/>
                <w:color w:val="000000" w:themeColor="text1"/>
                <w:sz w:val="24"/>
              </w:rPr>
              <w:t>年的</w:t>
            </w:r>
            <w:r w:rsidRPr="005F3E2D">
              <w:rPr>
                <w:rFonts w:eastAsiaTheme="minorEastAsia" w:hint="eastAsia"/>
                <w:bCs/>
                <w:color w:val="000000" w:themeColor="text1"/>
                <w:sz w:val="24"/>
              </w:rPr>
              <w:t>75.24</w:t>
            </w:r>
            <w:r w:rsidRPr="005F3E2D">
              <w:rPr>
                <w:rFonts w:eastAsiaTheme="minorEastAsia" w:hint="eastAsia"/>
                <w:bCs/>
                <w:color w:val="000000" w:themeColor="text1"/>
                <w:sz w:val="24"/>
              </w:rPr>
              <w:t>万吨增长至</w:t>
            </w:r>
            <w:r w:rsidRPr="005F3E2D">
              <w:rPr>
                <w:rFonts w:eastAsiaTheme="minorEastAsia" w:hint="eastAsia"/>
                <w:bCs/>
                <w:color w:val="000000" w:themeColor="text1"/>
                <w:sz w:val="24"/>
              </w:rPr>
              <w:t>2016</w:t>
            </w:r>
            <w:r w:rsidRPr="005F3E2D">
              <w:rPr>
                <w:rFonts w:eastAsiaTheme="minorEastAsia" w:hint="eastAsia"/>
                <w:bCs/>
                <w:color w:val="000000" w:themeColor="text1"/>
                <w:sz w:val="24"/>
              </w:rPr>
              <w:t>年的</w:t>
            </w:r>
            <w:r w:rsidRPr="005F3E2D">
              <w:rPr>
                <w:rFonts w:eastAsiaTheme="minorEastAsia" w:hint="eastAsia"/>
                <w:bCs/>
                <w:color w:val="000000" w:themeColor="text1"/>
                <w:sz w:val="24"/>
              </w:rPr>
              <w:t>152.24</w:t>
            </w:r>
            <w:r w:rsidRPr="005F3E2D">
              <w:rPr>
                <w:rFonts w:eastAsiaTheme="minorEastAsia" w:hint="eastAsia"/>
                <w:bCs/>
                <w:color w:val="000000" w:themeColor="text1"/>
                <w:sz w:val="24"/>
              </w:rPr>
              <w:t>万吨，年均复合增长率达到</w:t>
            </w:r>
            <w:r w:rsidRPr="005F3E2D">
              <w:rPr>
                <w:rFonts w:eastAsiaTheme="minorEastAsia"/>
                <w:bCs/>
                <w:color w:val="000000" w:themeColor="text1"/>
                <w:sz w:val="24"/>
              </w:rPr>
              <w:t>7</w:t>
            </w:r>
            <w:r w:rsidRPr="005F3E2D">
              <w:rPr>
                <w:rFonts w:eastAsiaTheme="minorEastAsia" w:hint="eastAsia"/>
                <w:bCs/>
                <w:color w:val="000000" w:themeColor="text1"/>
                <w:sz w:val="24"/>
              </w:rPr>
              <w:t>.3%</w:t>
            </w:r>
            <w:r w:rsidRPr="005F3E2D">
              <w:rPr>
                <w:rFonts w:eastAsiaTheme="minorEastAsia" w:hint="eastAsia"/>
                <w:bCs/>
                <w:color w:val="000000" w:themeColor="text1"/>
                <w:sz w:val="24"/>
              </w:rPr>
              <w:t>，高于水产配合饲料行业同期约</w:t>
            </w:r>
            <w:r w:rsidRPr="005F3E2D">
              <w:rPr>
                <w:rFonts w:eastAsiaTheme="minorEastAsia"/>
                <w:bCs/>
                <w:color w:val="000000" w:themeColor="text1"/>
                <w:sz w:val="24"/>
              </w:rPr>
              <w:t>5</w:t>
            </w:r>
            <w:r w:rsidRPr="005F3E2D">
              <w:rPr>
                <w:rFonts w:eastAsiaTheme="minorEastAsia" w:hint="eastAsia"/>
                <w:bCs/>
                <w:color w:val="000000" w:themeColor="text1"/>
                <w:sz w:val="24"/>
              </w:rPr>
              <w:t>%</w:t>
            </w:r>
            <w:r w:rsidRPr="005F3E2D">
              <w:rPr>
                <w:rFonts w:eastAsiaTheme="minorEastAsia" w:hint="eastAsia"/>
                <w:bCs/>
                <w:color w:val="000000" w:themeColor="text1"/>
                <w:sz w:val="24"/>
              </w:rPr>
              <w:t>的平均增速。</w:t>
            </w:r>
          </w:p>
          <w:p w:rsidR="003E2D0B" w:rsidRPr="005F3E2D" w:rsidRDefault="003E2D0B" w:rsidP="005F3E2D">
            <w:pPr>
              <w:adjustRightInd w:val="0"/>
              <w:snapToGrid w:val="0"/>
              <w:spacing w:line="300" w:lineRule="auto"/>
              <w:ind w:firstLineChars="200" w:firstLine="480"/>
              <w:rPr>
                <w:rFonts w:eastAsiaTheme="minorEastAsia"/>
                <w:bCs/>
                <w:color w:val="000000" w:themeColor="text1"/>
                <w:sz w:val="24"/>
              </w:rPr>
            </w:pPr>
            <w:r w:rsidRPr="005F3E2D">
              <w:rPr>
                <w:rFonts w:eastAsiaTheme="minorEastAsia"/>
                <w:bCs/>
                <w:color w:val="000000" w:themeColor="text1"/>
                <w:sz w:val="24"/>
              </w:rPr>
              <w:t>天</w:t>
            </w:r>
            <w:proofErr w:type="gramStart"/>
            <w:r w:rsidRPr="005F3E2D">
              <w:rPr>
                <w:rFonts w:eastAsiaTheme="minorEastAsia"/>
                <w:bCs/>
                <w:color w:val="000000" w:themeColor="text1"/>
                <w:sz w:val="24"/>
              </w:rPr>
              <w:t>马科技</w:t>
            </w:r>
            <w:proofErr w:type="gramEnd"/>
            <w:r w:rsidRPr="005F3E2D">
              <w:rPr>
                <w:rFonts w:eastAsiaTheme="minorEastAsia"/>
                <w:bCs/>
                <w:color w:val="000000" w:themeColor="text1"/>
                <w:sz w:val="24"/>
              </w:rPr>
              <w:t>是特种水产饲料细分产业龙头企业，</w:t>
            </w:r>
            <w:r w:rsidRPr="005F3E2D">
              <w:rPr>
                <w:rFonts w:eastAsiaTheme="minorEastAsia" w:hint="eastAsia"/>
                <w:bCs/>
                <w:color w:val="000000" w:themeColor="text1"/>
                <w:sz w:val="24"/>
              </w:rPr>
              <w:t>是一家专业从事特种水产配合饲料研发、生产和销售的国家级高新技术企业和农业产业化国家重点龙头企业，是</w:t>
            </w:r>
            <w:r w:rsidRPr="005F3E2D">
              <w:rPr>
                <w:rFonts w:eastAsiaTheme="minorEastAsia"/>
                <w:bCs/>
                <w:color w:val="000000" w:themeColor="text1"/>
                <w:sz w:val="24"/>
              </w:rPr>
              <w:t>国内特种水产配合饲料品种最为齐全的企业之一</w:t>
            </w:r>
            <w:r w:rsidRPr="005F3E2D">
              <w:rPr>
                <w:rFonts w:eastAsiaTheme="minorEastAsia" w:hint="eastAsia"/>
                <w:bCs/>
                <w:color w:val="000000" w:themeColor="text1"/>
                <w:sz w:val="24"/>
              </w:rPr>
              <w:t>。</w:t>
            </w:r>
            <w:r w:rsidRPr="005F3E2D">
              <w:rPr>
                <w:rFonts w:eastAsiaTheme="minorEastAsia"/>
                <w:bCs/>
                <w:color w:val="000000" w:themeColor="text1"/>
                <w:sz w:val="24"/>
              </w:rPr>
              <w:t>公司</w:t>
            </w:r>
            <w:r w:rsidRPr="005F3E2D">
              <w:rPr>
                <w:rFonts w:eastAsiaTheme="minorEastAsia" w:hint="eastAsia"/>
                <w:bCs/>
                <w:color w:val="000000" w:themeColor="text1"/>
                <w:sz w:val="24"/>
              </w:rPr>
              <w:t>核心产品鳗鲡配合</w:t>
            </w:r>
            <w:r w:rsidRPr="005F3E2D">
              <w:rPr>
                <w:rFonts w:eastAsiaTheme="minorEastAsia"/>
                <w:bCs/>
                <w:color w:val="000000" w:themeColor="text1"/>
                <w:sz w:val="24"/>
              </w:rPr>
              <w:t>饲料产品</w:t>
            </w:r>
            <w:r w:rsidRPr="005F3E2D">
              <w:rPr>
                <w:rFonts w:eastAsiaTheme="minorEastAsia" w:hint="eastAsia"/>
                <w:bCs/>
                <w:color w:val="000000" w:themeColor="text1"/>
                <w:sz w:val="24"/>
              </w:rPr>
              <w:t>近年来销量稳</w:t>
            </w:r>
            <w:r w:rsidRPr="005F3E2D">
              <w:rPr>
                <w:rFonts w:eastAsiaTheme="minorEastAsia"/>
                <w:bCs/>
                <w:color w:val="000000" w:themeColor="text1"/>
                <w:sz w:val="24"/>
              </w:rPr>
              <w:t>居全国第一位</w:t>
            </w:r>
            <w:r w:rsidRPr="005F3E2D">
              <w:rPr>
                <w:rFonts w:eastAsiaTheme="minorEastAsia" w:hint="eastAsia"/>
                <w:bCs/>
                <w:color w:val="000000" w:themeColor="text1"/>
                <w:sz w:val="24"/>
              </w:rPr>
              <w:t>，</w:t>
            </w:r>
            <w:r w:rsidRPr="005F3E2D">
              <w:rPr>
                <w:rFonts w:eastAsiaTheme="minorEastAsia"/>
                <w:bCs/>
                <w:color w:val="000000" w:themeColor="text1"/>
                <w:sz w:val="24"/>
              </w:rPr>
              <w:t>多</w:t>
            </w:r>
            <w:r w:rsidRPr="005F3E2D">
              <w:rPr>
                <w:rFonts w:eastAsiaTheme="minorEastAsia" w:hint="eastAsia"/>
                <w:bCs/>
                <w:color w:val="000000" w:themeColor="text1"/>
                <w:sz w:val="24"/>
              </w:rPr>
              <w:t>种</w:t>
            </w:r>
            <w:r w:rsidRPr="005F3E2D">
              <w:rPr>
                <w:rFonts w:eastAsiaTheme="minorEastAsia"/>
                <w:bCs/>
                <w:color w:val="000000" w:themeColor="text1"/>
                <w:sz w:val="24"/>
              </w:rPr>
              <w:t>饲料产品在国内特种水产配合饲料市场销售中位居前列</w:t>
            </w:r>
            <w:r w:rsidRPr="005F3E2D">
              <w:rPr>
                <w:rFonts w:eastAsiaTheme="minorEastAsia" w:hint="eastAsia"/>
                <w:bCs/>
                <w:color w:val="000000" w:themeColor="text1"/>
                <w:sz w:val="24"/>
              </w:rPr>
              <w:t>。</w:t>
            </w:r>
          </w:p>
          <w:p w:rsidR="00F21330" w:rsidRPr="005F3E2D" w:rsidRDefault="00F21330" w:rsidP="005F3E2D">
            <w:pPr>
              <w:adjustRightInd w:val="0"/>
              <w:snapToGrid w:val="0"/>
              <w:spacing w:line="300" w:lineRule="auto"/>
              <w:ind w:firstLineChars="200" w:firstLine="480"/>
              <w:rPr>
                <w:rFonts w:eastAsiaTheme="minorEastAsia"/>
                <w:bCs/>
                <w:color w:val="000000" w:themeColor="text1"/>
                <w:sz w:val="24"/>
              </w:rPr>
            </w:pPr>
            <w:r w:rsidRPr="005F3E2D">
              <w:rPr>
                <w:rFonts w:eastAsiaTheme="minorEastAsia"/>
                <w:bCs/>
                <w:color w:val="000000" w:themeColor="text1"/>
                <w:sz w:val="24"/>
              </w:rPr>
              <w:t>随着国家对环保的要求日益严格，海洋捕捞逐渐转向人工养殖，特种水产饲料行业将保持较快增长并高于整个水产饲料行业增长水平；叠加消费升级、养殖模式工厂化即养殖模式升级以及特种水产饲料渗透率仍有广阔空间，行业未来上升空间有千万吨的级别是必然的</w:t>
            </w:r>
            <w:r w:rsidRPr="005F3E2D">
              <w:rPr>
                <w:rFonts w:eastAsiaTheme="minorEastAsia" w:hint="eastAsia"/>
                <w:bCs/>
                <w:color w:val="000000" w:themeColor="text1"/>
                <w:sz w:val="24"/>
              </w:rPr>
              <w:t>，因此，特种水产饲料市场空间广阔。</w:t>
            </w:r>
          </w:p>
          <w:p w:rsidR="00A84C86" w:rsidRPr="005F3E2D" w:rsidRDefault="00A84C86" w:rsidP="005F3E2D">
            <w:pPr>
              <w:adjustRightInd w:val="0"/>
              <w:snapToGrid w:val="0"/>
              <w:spacing w:line="300" w:lineRule="auto"/>
              <w:ind w:firstLineChars="200" w:firstLine="480"/>
              <w:rPr>
                <w:rFonts w:eastAsiaTheme="minorEastAsia"/>
                <w:bCs/>
                <w:color w:val="000000" w:themeColor="text1"/>
                <w:sz w:val="24"/>
              </w:rPr>
            </w:pPr>
            <w:r w:rsidRPr="005F3E2D">
              <w:rPr>
                <w:rFonts w:eastAsiaTheme="minorEastAsia" w:hint="eastAsia"/>
                <w:bCs/>
                <w:color w:val="000000" w:themeColor="text1"/>
                <w:sz w:val="24"/>
              </w:rPr>
              <w:lastRenderedPageBreak/>
              <w:t>2</w:t>
            </w:r>
            <w:r w:rsidRPr="005F3E2D">
              <w:rPr>
                <w:rFonts w:eastAsiaTheme="minorEastAsia" w:hint="eastAsia"/>
                <w:bCs/>
                <w:color w:val="000000" w:themeColor="text1"/>
                <w:sz w:val="24"/>
              </w:rPr>
              <w:t>、公司产能问题：</w:t>
            </w:r>
          </w:p>
          <w:p w:rsidR="00A84C86" w:rsidRPr="00A84C86" w:rsidRDefault="00A84C86" w:rsidP="005F3E2D">
            <w:pPr>
              <w:adjustRightInd w:val="0"/>
              <w:snapToGrid w:val="0"/>
              <w:spacing w:line="300" w:lineRule="auto"/>
              <w:ind w:firstLineChars="200" w:firstLine="480"/>
              <w:rPr>
                <w:rFonts w:eastAsiaTheme="minorEastAsia" w:hAnsiTheme="minorEastAsia"/>
                <w:sz w:val="24"/>
              </w:rPr>
            </w:pPr>
            <w:r w:rsidRPr="005F3E2D">
              <w:rPr>
                <w:rFonts w:eastAsiaTheme="minorEastAsia" w:hint="eastAsia"/>
                <w:bCs/>
                <w:color w:val="000000" w:themeColor="text1"/>
                <w:sz w:val="24"/>
              </w:rPr>
              <w:t>公司目前实际产能约</w:t>
            </w:r>
            <w:r w:rsidRPr="005F3E2D">
              <w:rPr>
                <w:rFonts w:eastAsiaTheme="minorEastAsia" w:hint="eastAsia"/>
                <w:bCs/>
                <w:color w:val="000000" w:themeColor="text1"/>
                <w:sz w:val="24"/>
              </w:rPr>
              <w:t>14</w:t>
            </w:r>
            <w:r w:rsidRPr="005F3E2D">
              <w:rPr>
                <w:rFonts w:eastAsiaTheme="minorEastAsia" w:hint="eastAsia"/>
                <w:bCs/>
                <w:color w:val="000000" w:themeColor="text1"/>
                <w:sz w:val="24"/>
              </w:rPr>
              <w:t>万吨左右。</w:t>
            </w:r>
            <w:r w:rsidRPr="00515EB9">
              <w:rPr>
                <w:rFonts w:eastAsiaTheme="minorEastAsia" w:hAnsiTheme="minorEastAsia" w:hint="eastAsia"/>
                <w:sz w:val="24"/>
              </w:rPr>
              <w:t>随着可转债投资项目、台山项目和江苏生产项目的建设，争取中长期内特种水产产能达到</w:t>
            </w:r>
            <w:r w:rsidRPr="00515EB9">
              <w:rPr>
                <w:rFonts w:eastAsiaTheme="minorEastAsia" w:hAnsiTheme="minorEastAsia" w:hint="eastAsia"/>
                <w:sz w:val="24"/>
              </w:rPr>
              <w:t>50</w:t>
            </w:r>
            <w:r w:rsidRPr="00515EB9">
              <w:rPr>
                <w:rFonts w:eastAsiaTheme="minorEastAsia" w:hAnsiTheme="minorEastAsia" w:hint="eastAsia"/>
                <w:sz w:val="24"/>
              </w:rPr>
              <w:t>万吨产能规模。</w:t>
            </w:r>
          </w:p>
          <w:p w:rsidR="00B21DC1" w:rsidRDefault="00A84C86" w:rsidP="00A61FAC">
            <w:pPr>
              <w:adjustRightInd w:val="0"/>
              <w:snapToGrid w:val="0"/>
              <w:spacing w:line="300" w:lineRule="auto"/>
              <w:ind w:firstLineChars="200" w:firstLine="480"/>
              <w:rPr>
                <w:rFonts w:eastAsiaTheme="minorEastAsia"/>
                <w:bCs/>
                <w:color w:val="000000" w:themeColor="text1"/>
                <w:sz w:val="24"/>
              </w:rPr>
            </w:pPr>
            <w:r>
              <w:rPr>
                <w:rFonts w:eastAsiaTheme="minorEastAsia" w:hint="eastAsia"/>
                <w:bCs/>
                <w:color w:val="000000" w:themeColor="text1"/>
                <w:sz w:val="24"/>
              </w:rPr>
              <w:t>3</w:t>
            </w:r>
            <w:r w:rsidR="00FE322F" w:rsidRPr="00A61FAC">
              <w:rPr>
                <w:rFonts w:eastAsiaTheme="minorEastAsia" w:hint="eastAsia"/>
                <w:bCs/>
                <w:color w:val="000000" w:themeColor="text1"/>
                <w:sz w:val="24"/>
              </w:rPr>
              <w:t>、</w:t>
            </w:r>
            <w:r w:rsidR="00B21DC1">
              <w:rPr>
                <w:rFonts w:eastAsiaTheme="minorEastAsia" w:hint="eastAsia"/>
                <w:bCs/>
                <w:color w:val="000000" w:themeColor="text1"/>
                <w:sz w:val="24"/>
              </w:rPr>
              <w:t>公司营销布局：</w:t>
            </w:r>
          </w:p>
          <w:p w:rsidR="00B21DC1" w:rsidRDefault="00A84C86" w:rsidP="00A61FAC">
            <w:pPr>
              <w:adjustRightInd w:val="0"/>
              <w:snapToGrid w:val="0"/>
              <w:spacing w:line="300" w:lineRule="auto"/>
              <w:ind w:firstLineChars="200" w:firstLine="480"/>
              <w:rPr>
                <w:color w:val="000000" w:themeColor="text1"/>
                <w:sz w:val="24"/>
              </w:rPr>
            </w:pPr>
            <w:r w:rsidRPr="00A61FAC">
              <w:rPr>
                <w:rFonts w:hint="eastAsia"/>
                <w:color w:val="000000" w:themeColor="text1"/>
                <w:sz w:val="24"/>
              </w:rPr>
              <w:t>为实现精准营销管理，推进公司业务的持续稳定增长，公司快速推进细分事业部的战略经营模式，从</w:t>
            </w:r>
            <w:r w:rsidRPr="00A61FAC">
              <w:rPr>
                <w:rFonts w:hint="eastAsia"/>
                <w:color w:val="000000" w:themeColor="text1"/>
                <w:sz w:val="24"/>
              </w:rPr>
              <w:t>2018</w:t>
            </w:r>
            <w:r w:rsidRPr="00A61FAC">
              <w:rPr>
                <w:rFonts w:hint="eastAsia"/>
                <w:color w:val="000000" w:themeColor="text1"/>
                <w:sz w:val="24"/>
              </w:rPr>
              <w:t>年起</w:t>
            </w:r>
            <w:r w:rsidRPr="00A61FAC">
              <w:rPr>
                <w:rFonts w:hint="eastAsia"/>
                <w:color w:val="000000" w:themeColor="text1"/>
                <w:sz w:val="24"/>
              </w:rPr>
              <w:t>3</w:t>
            </w:r>
            <w:r w:rsidRPr="00A61FAC">
              <w:rPr>
                <w:rFonts w:hint="eastAsia"/>
                <w:color w:val="000000" w:themeColor="text1"/>
                <w:sz w:val="24"/>
              </w:rPr>
              <w:t>年内，在华南地区、华东地区、华中地区、西南地区完成</w:t>
            </w:r>
            <w:r w:rsidRPr="00A61FAC">
              <w:rPr>
                <w:rFonts w:hint="eastAsia"/>
                <w:color w:val="000000" w:themeColor="text1"/>
                <w:sz w:val="24"/>
              </w:rPr>
              <w:t>10</w:t>
            </w:r>
            <w:r w:rsidRPr="00A61FAC">
              <w:rPr>
                <w:rFonts w:hint="eastAsia"/>
                <w:color w:val="000000" w:themeColor="text1"/>
                <w:sz w:val="24"/>
              </w:rPr>
              <w:t>个大区、</w:t>
            </w:r>
            <w:r w:rsidRPr="00A61FAC">
              <w:rPr>
                <w:rFonts w:hint="eastAsia"/>
                <w:color w:val="000000" w:themeColor="text1"/>
                <w:sz w:val="24"/>
              </w:rPr>
              <w:t>24</w:t>
            </w:r>
            <w:r w:rsidRPr="00A61FAC">
              <w:rPr>
                <w:rFonts w:hint="eastAsia"/>
                <w:color w:val="000000" w:themeColor="text1"/>
                <w:sz w:val="24"/>
              </w:rPr>
              <w:t>个细分事业部建设目标。</w:t>
            </w:r>
          </w:p>
          <w:p w:rsidR="00B21DC1" w:rsidRDefault="00B21DC1" w:rsidP="00A61FAC">
            <w:pPr>
              <w:adjustRightInd w:val="0"/>
              <w:snapToGrid w:val="0"/>
              <w:spacing w:line="300" w:lineRule="auto"/>
              <w:ind w:firstLineChars="200" w:firstLine="480"/>
              <w:rPr>
                <w:color w:val="000000" w:themeColor="text1"/>
                <w:sz w:val="24"/>
              </w:rPr>
            </w:pPr>
            <w:r>
              <w:rPr>
                <w:rFonts w:hint="eastAsia"/>
                <w:color w:val="000000" w:themeColor="text1"/>
                <w:sz w:val="24"/>
              </w:rPr>
              <w:t>在布局国内市场的同时，</w:t>
            </w:r>
            <w:r w:rsidRPr="00A61FAC">
              <w:rPr>
                <w:rFonts w:hint="eastAsia"/>
                <w:color w:val="000000" w:themeColor="text1"/>
                <w:sz w:val="24"/>
              </w:rPr>
              <w:t>积极实施“走出去”发展战略。公司通过前期翔实的考察、调研、商谈，</w:t>
            </w:r>
            <w:proofErr w:type="gramStart"/>
            <w:r>
              <w:rPr>
                <w:rFonts w:hint="eastAsia"/>
                <w:color w:val="000000" w:themeColor="text1"/>
                <w:sz w:val="24"/>
              </w:rPr>
              <w:t>钭</w:t>
            </w:r>
            <w:proofErr w:type="gramEnd"/>
            <w:r w:rsidRPr="00A61FAC">
              <w:rPr>
                <w:rFonts w:hint="eastAsia"/>
                <w:color w:val="000000" w:themeColor="text1"/>
                <w:sz w:val="24"/>
              </w:rPr>
              <w:t>积极、稳健、有序地在马来西亚、印尼、泰国、越南、韩国、我国台湾等国家和地区进行战略性产业布局或销售战略合作，实施走出福建、走出中国、走向世界的发展战略。</w:t>
            </w:r>
            <w:r>
              <w:rPr>
                <w:rFonts w:hint="eastAsia"/>
                <w:color w:val="000000" w:themeColor="text1"/>
                <w:sz w:val="24"/>
              </w:rPr>
              <w:t>目前，已在马来西亚设立销售经营团队。</w:t>
            </w:r>
          </w:p>
          <w:p w:rsidR="005F3E2D" w:rsidRDefault="00B21DC1" w:rsidP="00A61FAC">
            <w:pPr>
              <w:adjustRightInd w:val="0"/>
              <w:snapToGrid w:val="0"/>
              <w:spacing w:line="300" w:lineRule="auto"/>
              <w:ind w:firstLineChars="200" w:firstLine="480"/>
              <w:rPr>
                <w:rFonts w:eastAsiaTheme="minorEastAsia" w:hAnsiTheme="minorEastAsia"/>
                <w:bCs/>
                <w:color w:val="000000" w:themeColor="text1"/>
                <w:sz w:val="24"/>
              </w:rPr>
            </w:pPr>
            <w:r>
              <w:rPr>
                <w:rFonts w:hint="eastAsia"/>
                <w:color w:val="000000" w:themeColor="text1"/>
                <w:sz w:val="24"/>
              </w:rPr>
              <w:t>4</w:t>
            </w:r>
            <w:r w:rsidR="006F4BF8" w:rsidRPr="00A61FAC">
              <w:rPr>
                <w:rFonts w:hint="eastAsia"/>
                <w:color w:val="000000" w:themeColor="text1"/>
                <w:sz w:val="24"/>
              </w:rPr>
              <w:t>、</w:t>
            </w:r>
            <w:r w:rsidR="00492D09">
              <w:rPr>
                <w:rFonts w:hint="eastAsia"/>
                <w:color w:val="000000" w:themeColor="text1"/>
                <w:sz w:val="24"/>
              </w:rPr>
              <w:t>公司</w:t>
            </w:r>
            <w:r w:rsidR="00125511" w:rsidRPr="00A61FAC">
              <w:rPr>
                <w:rFonts w:eastAsiaTheme="minorEastAsia" w:hAnsiTheme="minorEastAsia"/>
                <w:bCs/>
                <w:color w:val="000000" w:themeColor="text1"/>
                <w:sz w:val="24"/>
              </w:rPr>
              <w:t>市场</w:t>
            </w:r>
            <w:r w:rsidR="00A85D9C">
              <w:rPr>
                <w:rFonts w:eastAsiaTheme="minorEastAsia" w:hAnsiTheme="minorEastAsia" w:hint="eastAsia"/>
                <w:bCs/>
                <w:color w:val="000000" w:themeColor="text1"/>
                <w:sz w:val="24"/>
              </w:rPr>
              <w:t>及竞争</w:t>
            </w:r>
            <w:r w:rsidR="00492D09">
              <w:rPr>
                <w:rFonts w:eastAsiaTheme="minorEastAsia" w:hAnsiTheme="minorEastAsia" w:hint="eastAsia"/>
                <w:bCs/>
                <w:color w:val="000000" w:themeColor="text1"/>
                <w:sz w:val="24"/>
              </w:rPr>
              <w:t>优势</w:t>
            </w:r>
            <w:r w:rsidR="00125511" w:rsidRPr="00A61FAC">
              <w:rPr>
                <w:rFonts w:eastAsiaTheme="minorEastAsia" w:hAnsiTheme="minorEastAsia"/>
                <w:bCs/>
                <w:color w:val="000000" w:themeColor="text1"/>
                <w:sz w:val="24"/>
              </w:rPr>
              <w:t>：</w:t>
            </w:r>
          </w:p>
          <w:p w:rsidR="00367C18" w:rsidRPr="00A61FAC" w:rsidRDefault="00B21DC1" w:rsidP="00A61FAC">
            <w:pPr>
              <w:adjustRightInd w:val="0"/>
              <w:snapToGrid w:val="0"/>
              <w:spacing w:line="300" w:lineRule="auto"/>
              <w:ind w:firstLineChars="200" w:firstLine="480"/>
              <w:rPr>
                <w:rFonts w:eastAsiaTheme="minorEastAsia" w:hAnsiTheme="minorEastAsia"/>
                <w:bCs/>
                <w:color w:val="000000" w:themeColor="text1"/>
                <w:sz w:val="24"/>
              </w:rPr>
            </w:pPr>
            <w:r>
              <w:rPr>
                <w:rFonts w:eastAsiaTheme="minorEastAsia" w:hAnsiTheme="minorEastAsia" w:hint="eastAsia"/>
                <w:bCs/>
                <w:color w:val="000000" w:themeColor="text1"/>
                <w:sz w:val="24"/>
              </w:rPr>
              <w:t>公司具有全品种优势，从种苗期到养成期全品种覆盖；同时，</w:t>
            </w:r>
            <w:r w:rsidR="00125511" w:rsidRPr="00A61FAC">
              <w:rPr>
                <w:rFonts w:eastAsiaTheme="minorEastAsia" w:hAnsiTheme="minorEastAsia"/>
                <w:bCs/>
                <w:color w:val="000000" w:themeColor="text1"/>
                <w:sz w:val="24"/>
              </w:rPr>
              <w:t>公司产品的特点是定位于高端特种水产饲料，技术与服务是进入特种水产饲料行业的主要壁垒，公司有多年的</w:t>
            </w:r>
            <w:r w:rsidR="00D8581D" w:rsidRPr="00A61FAC">
              <w:rPr>
                <w:rFonts w:eastAsiaTheme="minorEastAsia" w:hAnsiTheme="minorEastAsia"/>
                <w:bCs/>
                <w:color w:val="000000" w:themeColor="text1"/>
                <w:sz w:val="24"/>
              </w:rPr>
              <w:t>技术积累和雄厚的研发实力，实行贴心的养殖全程服务，客户粘性极强，叠加公司区位优势，公司有信心通过市场竞争进入快速发展阶段。</w:t>
            </w:r>
          </w:p>
          <w:p w:rsidR="00B21DC1" w:rsidRDefault="00B21DC1" w:rsidP="00D973B9">
            <w:pPr>
              <w:adjustRightInd w:val="0"/>
              <w:snapToGrid w:val="0"/>
              <w:spacing w:line="300" w:lineRule="auto"/>
              <w:ind w:firstLine="480"/>
              <w:rPr>
                <w:rFonts w:eastAsiaTheme="minorEastAsia" w:hAnsiTheme="minorEastAsia"/>
                <w:sz w:val="24"/>
              </w:rPr>
            </w:pPr>
            <w:r>
              <w:rPr>
                <w:rFonts w:eastAsiaTheme="minorEastAsia" w:hAnsiTheme="minorEastAsia" w:hint="eastAsia"/>
                <w:sz w:val="24"/>
              </w:rPr>
              <w:t>5</w:t>
            </w:r>
            <w:r w:rsidR="00D973B9">
              <w:rPr>
                <w:rFonts w:eastAsiaTheme="minorEastAsia" w:hAnsiTheme="minorEastAsia" w:hint="eastAsia"/>
                <w:sz w:val="24"/>
              </w:rPr>
              <w:t>、</w:t>
            </w:r>
            <w:r w:rsidR="00B66D5B">
              <w:rPr>
                <w:rFonts w:eastAsiaTheme="minorEastAsia" w:hAnsiTheme="minorEastAsia" w:hint="eastAsia"/>
                <w:sz w:val="24"/>
              </w:rPr>
              <w:t>有关全熟化</w:t>
            </w:r>
            <w:r w:rsidR="00B66D5B">
              <w:rPr>
                <w:rFonts w:eastAsiaTheme="minorEastAsia" w:hAnsiTheme="minorEastAsia" w:hint="eastAsia"/>
                <w:sz w:val="24"/>
              </w:rPr>
              <w:t>EP</w:t>
            </w:r>
            <w:r w:rsidR="00B66D5B">
              <w:rPr>
                <w:rFonts w:eastAsiaTheme="minorEastAsia" w:hAnsiTheme="minorEastAsia" w:hint="eastAsia"/>
                <w:sz w:val="24"/>
              </w:rPr>
              <w:t>料系列产品：</w:t>
            </w:r>
          </w:p>
          <w:p w:rsidR="00D973B9" w:rsidRPr="00EB305C" w:rsidRDefault="00B21DC1" w:rsidP="00D973B9">
            <w:pPr>
              <w:adjustRightInd w:val="0"/>
              <w:snapToGrid w:val="0"/>
              <w:spacing w:line="300" w:lineRule="auto"/>
              <w:ind w:firstLine="480"/>
              <w:rPr>
                <w:sz w:val="24"/>
              </w:rPr>
            </w:pPr>
            <w:r w:rsidRPr="005320AE">
              <w:rPr>
                <w:rFonts w:hint="eastAsia"/>
                <w:sz w:val="24"/>
              </w:rPr>
              <w:t>EP</w:t>
            </w:r>
            <w:r>
              <w:rPr>
                <w:rFonts w:hint="eastAsia"/>
                <w:sz w:val="24"/>
              </w:rPr>
              <w:t>料</w:t>
            </w:r>
            <w:r w:rsidRPr="005320AE">
              <w:rPr>
                <w:rFonts w:hint="eastAsia"/>
                <w:sz w:val="24"/>
              </w:rPr>
              <w:t>是全熟化多孔性工艺技术，</w:t>
            </w:r>
            <w:r w:rsidR="001210F4">
              <w:rPr>
                <w:rFonts w:eastAsiaTheme="minorEastAsia" w:hAnsiTheme="minorEastAsia" w:hint="eastAsia"/>
                <w:sz w:val="24"/>
              </w:rPr>
              <w:t>全熟化</w:t>
            </w:r>
            <w:r w:rsidR="001210F4">
              <w:rPr>
                <w:rFonts w:eastAsiaTheme="minorEastAsia" w:hAnsiTheme="minorEastAsia" w:hint="eastAsia"/>
                <w:sz w:val="24"/>
              </w:rPr>
              <w:t>EP</w:t>
            </w:r>
            <w:r w:rsidR="001210F4">
              <w:rPr>
                <w:rFonts w:eastAsiaTheme="minorEastAsia" w:hAnsiTheme="minorEastAsia" w:hint="eastAsia"/>
                <w:sz w:val="24"/>
              </w:rPr>
              <w:t>料系列产品是公司多年科研的成果</w:t>
            </w:r>
            <w:r w:rsidR="00B66D5B">
              <w:rPr>
                <w:rFonts w:eastAsiaTheme="minorEastAsia" w:hAnsiTheme="minorEastAsia" w:hint="eastAsia"/>
                <w:sz w:val="24"/>
              </w:rPr>
              <w:t>，</w:t>
            </w:r>
            <w:r w:rsidRPr="005320AE">
              <w:rPr>
                <w:rFonts w:hint="eastAsia"/>
                <w:sz w:val="24"/>
              </w:rPr>
              <w:t>是天</w:t>
            </w:r>
            <w:proofErr w:type="gramStart"/>
            <w:r w:rsidRPr="005320AE">
              <w:rPr>
                <w:rFonts w:hint="eastAsia"/>
                <w:sz w:val="24"/>
              </w:rPr>
              <w:t>马科技</w:t>
            </w:r>
            <w:proofErr w:type="gramEnd"/>
            <w:r w:rsidRPr="005320AE">
              <w:rPr>
                <w:rFonts w:hint="eastAsia"/>
                <w:sz w:val="24"/>
              </w:rPr>
              <w:t>与设备生产商共同在膨化技术工艺基础上进行的改进</w:t>
            </w:r>
            <w:r>
              <w:rPr>
                <w:rFonts w:hint="eastAsia"/>
                <w:sz w:val="24"/>
              </w:rPr>
              <w:t>。</w:t>
            </w:r>
            <w:r w:rsidR="00B66D5B">
              <w:rPr>
                <w:rFonts w:hint="eastAsia"/>
                <w:sz w:val="24"/>
              </w:rPr>
              <w:t>产品定位于高端特种水产饲料，将能解决原来粉料带来的浪费、污染等问题，真正的经济、环保、高效，目前，相关系列产品如</w:t>
            </w:r>
            <w:r w:rsidR="00D973B9">
              <w:rPr>
                <w:rFonts w:hint="eastAsia"/>
                <w:sz w:val="24"/>
              </w:rPr>
              <w:t>全熟化</w:t>
            </w:r>
            <w:r w:rsidR="00D973B9">
              <w:rPr>
                <w:rFonts w:hint="eastAsia"/>
                <w:sz w:val="24"/>
              </w:rPr>
              <w:t>EP</w:t>
            </w:r>
            <w:r w:rsidR="00D973B9">
              <w:rPr>
                <w:rFonts w:hint="eastAsia"/>
                <w:sz w:val="24"/>
              </w:rPr>
              <w:t>虾料</w:t>
            </w:r>
            <w:r w:rsidR="00B66D5B">
              <w:rPr>
                <w:rFonts w:hint="eastAsia"/>
                <w:sz w:val="24"/>
              </w:rPr>
              <w:t>、全熟化</w:t>
            </w:r>
            <w:r w:rsidR="00B66D5B">
              <w:rPr>
                <w:rFonts w:hint="eastAsia"/>
                <w:sz w:val="24"/>
              </w:rPr>
              <w:t>EP</w:t>
            </w:r>
            <w:r w:rsidR="00B66D5B">
              <w:rPr>
                <w:rFonts w:hint="eastAsia"/>
                <w:sz w:val="24"/>
              </w:rPr>
              <w:t>小龙虾料、全熟化</w:t>
            </w:r>
            <w:r w:rsidR="00B66D5B">
              <w:rPr>
                <w:rFonts w:hint="eastAsia"/>
                <w:sz w:val="24"/>
              </w:rPr>
              <w:t>EP</w:t>
            </w:r>
            <w:r w:rsidR="00B66D5B">
              <w:rPr>
                <w:rFonts w:hint="eastAsia"/>
                <w:sz w:val="24"/>
              </w:rPr>
              <w:t>种苗料、全熟化</w:t>
            </w:r>
            <w:r w:rsidR="00B66D5B">
              <w:rPr>
                <w:rFonts w:hint="eastAsia"/>
                <w:sz w:val="24"/>
              </w:rPr>
              <w:t>EP</w:t>
            </w:r>
            <w:r w:rsidR="00B66D5B">
              <w:rPr>
                <w:rFonts w:hint="eastAsia"/>
                <w:sz w:val="24"/>
              </w:rPr>
              <w:t>石斑鱼料、全熟化</w:t>
            </w:r>
            <w:r w:rsidR="00B66D5B">
              <w:rPr>
                <w:rFonts w:hint="eastAsia"/>
                <w:sz w:val="24"/>
              </w:rPr>
              <w:t>EP</w:t>
            </w:r>
            <w:r w:rsidR="00B66D5B">
              <w:rPr>
                <w:rFonts w:hint="eastAsia"/>
                <w:sz w:val="24"/>
              </w:rPr>
              <w:t>大黄鱼料等正加快向市场推出，有望抢占市场新的高点。</w:t>
            </w:r>
            <w:r w:rsidR="00B66D5B" w:rsidRPr="00EB305C">
              <w:rPr>
                <w:sz w:val="24"/>
              </w:rPr>
              <w:t xml:space="preserve"> </w:t>
            </w:r>
          </w:p>
          <w:p w:rsidR="005F3E2D" w:rsidRDefault="00B21DC1" w:rsidP="00D95453">
            <w:pPr>
              <w:adjustRightInd w:val="0"/>
              <w:snapToGrid w:val="0"/>
              <w:spacing w:line="300" w:lineRule="auto"/>
              <w:ind w:firstLineChars="200" w:firstLine="480"/>
              <w:rPr>
                <w:sz w:val="24"/>
              </w:rPr>
            </w:pPr>
            <w:r>
              <w:rPr>
                <w:rFonts w:hint="eastAsia"/>
                <w:sz w:val="24"/>
              </w:rPr>
              <w:t>6</w:t>
            </w:r>
            <w:r w:rsidR="00A61FAC">
              <w:rPr>
                <w:rFonts w:hint="eastAsia"/>
                <w:sz w:val="24"/>
              </w:rPr>
              <w:t>、</w:t>
            </w:r>
            <w:r w:rsidR="00D95453">
              <w:rPr>
                <w:rFonts w:hint="eastAsia"/>
                <w:sz w:val="24"/>
              </w:rPr>
              <w:t>公司股权</w:t>
            </w:r>
            <w:r w:rsidR="00A61FAC">
              <w:rPr>
                <w:rFonts w:hint="eastAsia"/>
                <w:sz w:val="24"/>
              </w:rPr>
              <w:t>激励</w:t>
            </w:r>
            <w:r w:rsidR="00D95453">
              <w:rPr>
                <w:rFonts w:hint="eastAsia"/>
                <w:sz w:val="24"/>
              </w:rPr>
              <w:t>计划情况</w:t>
            </w:r>
            <w:r w:rsidR="00A61FAC">
              <w:rPr>
                <w:rFonts w:hint="eastAsia"/>
                <w:sz w:val="24"/>
              </w:rPr>
              <w:t>：</w:t>
            </w:r>
          </w:p>
          <w:p w:rsidR="00D973B9" w:rsidRPr="00A61FAC" w:rsidRDefault="00A61FAC" w:rsidP="00D95453">
            <w:pPr>
              <w:adjustRightInd w:val="0"/>
              <w:snapToGrid w:val="0"/>
              <w:spacing w:line="300" w:lineRule="auto"/>
              <w:ind w:firstLineChars="200" w:firstLine="480"/>
              <w:rPr>
                <w:rFonts w:eastAsiaTheme="minorEastAsia"/>
                <w:sz w:val="24"/>
              </w:rPr>
            </w:pPr>
            <w:r>
              <w:rPr>
                <w:rFonts w:hint="eastAsia"/>
                <w:sz w:val="24"/>
              </w:rPr>
              <w:t>公司</w:t>
            </w:r>
            <w:r w:rsidR="008E5342">
              <w:rPr>
                <w:rFonts w:hint="eastAsia"/>
                <w:sz w:val="24"/>
              </w:rPr>
              <w:t>已推出首期</w:t>
            </w:r>
            <w:r>
              <w:rPr>
                <w:rFonts w:hint="eastAsia"/>
                <w:sz w:val="24"/>
              </w:rPr>
              <w:t>股权激励</w:t>
            </w:r>
            <w:r w:rsidR="008E5342">
              <w:rPr>
                <w:rFonts w:hint="eastAsia"/>
                <w:sz w:val="24"/>
              </w:rPr>
              <w:t>计划，</w:t>
            </w:r>
            <w:r w:rsidR="00D9637D">
              <w:rPr>
                <w:rFonts w:hint="eastAsia"/>
                <w:sz w:val="24"/>
              </w:rPr>
              <w:t>该计划的推出</w:t>
            </w:r>
            <w:r w:rsidR="008E5342">
              <w:rPr>
                <w:rFonts w:hAnsi="宋体" w:hint="eastAsia"/>
                <w:sz w:val="24"/>
              </w:rPr>
              <w:t>有利于</w:t>
            </w:r>
            <w:r w:rsidR="008E5342" w:rsidRPr="00105FBE">
              <w:rPr>
                <w:rFonts w:hAnsi="宋体"/>
                <w:sz w:val="24"/>
              </w:rPr>
              <w:t>进一步建立、健全公司长效激励约束机制，吸引和留住优秀人才，充分调动公司高级管理人员、中层管理人员及核心骨干的积极性，有效地将股东利益、公司利益和核心团队个人利益结合在一起</w:t>
            </w:r>
            <w:r>
              <w:rPr>
                <w:rFonts w:hint="eastAsia"/>
                <w:sz w:val="24"/>
              </w:rPr>
              <w:t>，公司完全有信心达成股权激励目标。</w:t>
            </w:r>
          </w:p>
        </w:tc>
      </w:tr>
      <w:tr w:rsidR="00557E33" w:rsidTr="005A0DE1">
        <w:trPr>
          <w:trHeight w:val="628"/>
          <w:jc w:val="center"/>
        </w:trPr>
        <w:tc>
          <w:tcPr>
            <w:tcW w:w="1544" w:type="dxa"/>
            <w:vAlign w:val="center"/>
          </w:tcPr>
          <w:p w:rsidR="00557E33" w:rsidRDefault="00557E33" w:rsidP="004F0D58">
            <w:pPr>
              <w:jc w:val="center"/>
              <w:rPr>
                <w:rFonts w:ascii="宋体" w:hAnsi="宋体"/>
                <w:b/>
                <w:sz w:val="24"/>
              </w:rPr>
            </w:pPr>
            <w:r>
              <w:rPr>
                <w:rFonts w:ascii="宋体" w:hAnsi="宋体" w:hint="eastAsia"/>
                <w:b/>
                <w:sz w:val="24"/>
              </w:rPr>
              <w:lastRenderedPageBreak/>
              <w:t>备注</w:t>
            </w:r>
          </w:p>
        </w:tc>
        <w:tc>
          <w:tcPr>
            <w:tcW w:w="9541" w:type="dxa"/>
            <w:gridSpan w:val="3"/>
            <w:vAlign w:val="center"/>
          </w:tcPr>
          <w:p w:rsidR="00557E33" w:rsidRDefault="00494E47" w:rsidP="004F0D58">
            <w:pPr>
              <w:jc w:val="center"/>
              <w:rPr>
                <w:rFonts w:ascii="宋体" w:hAnsi="宋体"/>
                <w:b/>
                <w:sz w:val="24"/>
              </w:rPr>
            </w:pPr>
            <w:r>
              <w:rPr>
                <w:rFonts w:ascii="宋体" w:hAnsi="宋体" w:hint="eastAsia"/>
                <w:b/>
                <w:sz w:val="24"/>
              </w:rPr>
              <w:t>未提供书面材料。</w:t>
            </w:r>
          </w:p>
        </w:tc>
      </w:tr>
    </w:tbl>
    <w:p w:rsidR="00557E33" w:rsidRDefault="00557E33" w:rsidP="00557E33"/>
    <w:p w:rsidR="004C26C8" w:rsidRPr="009A1D80" w:rsidRDefault="00B9673A"/>
    <w:sectPr w:rsidR="004C26C8" w:rsidRPr="009A1D80" w:rsidSect="00776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3A" w:rsidRDefault="00B9673A" w:rsidP="00D3344E">
      <w:r>
        <w:separator/>
      </w:r>
    </w:p>
  </w:endnote>
  <w:endnote w:type="continuationSeparator" w:id="0">
    <w:p w:rsidR="00B9673A" w:rsidRDefault="00B9673A" w:rsidP="00D3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3A" w:rsidRDefault="00B9673A" w:rsidP="00D3344E">
      <w:r>
        <w:separator/>
      </w:r>
    </w:p>
  </w:footnote>
  <w:footnote w:type="continuationSeparator" w:id="0">
    <w:p w:rsidR="00B9673A" w:rsidRDefault="00B9673A" w:rsidP="00D3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D80"/>
    <w:rsid w:val="00001BFE"/>
    <w:rsid w:val="00006F15"/>
    <w:rsid w:val="00023543"/>
    <w:rsid w:val="00043A22"/>
    <w:rsid w:val="000537DE"/>
    <w:rsid w:val="00075E10"/>
    <w:rsid w:val="000A47F4"/>
    <w:rsid w:val="000B5875"/>
    <w:rsid w:val="000E3660"/>
    <w:rsid w:val="000E66C9"/>
    <w:rsid w:val="000F1565"/>
    <w:rsid w:val="000F2561"/>
    <w:rsid w:val="000F7357"/>
    <w:rsid w:val="00111FE3"/>
    <w:rsid w:val="001210F4"/>
    <w:rsid w:val="001220E3"/>
    <w:rsid w:val="00122477"/>
    <w:rsid w:val="00125511"/>
    <w:rsid w:val="001A6594"/>
    <w:rsid w:val="001C623D"/>
    <w:rsid w:val="001F0C60"/>
    <w:rsid w:val="001F4920"/>
    <w:rsid w:val="0021321C"/>
    <w:rsid w:val="00221AC0"/>
    <w:rsid w:val="00250F7F"/>
    <w:rsid w:val="0028477D"/>
    <w:rsid w:val="00291BBC"/>
    <w:rsid w:val="0029687E"/>
    <w:rsid w:val="002A3AE3"/>
    <w:rsid w:val="002D1BBF"/>
    <w:rsid w:val="002D4139"/>
    <w:rsid w:val="002E46B1"/>
    <w:rsid w:val="0031477E"/>
    <w:rsid w:val="003170C9"/>
    <w:rsid w:val="003211DF"/>
    <w:rsid w:val="00335805"/>
    <w:rsid w:val="00341FCB"/>
    <w:rsid w:val="00361935"/>
    <w:rsid w:val="00367C18"/>
    <w:rsid w:val="00385D28"/>
    <w:rsid w:val="00395044"/>
    <w:rsid w:val="003B1E2E"/>
    <w:rsid w:val="003D63E7"/>
    <w:rsid w:val="003E08AB"/>
    <w:rsid w:val="003E2D0B"/>
    <w:rsid w:val="004153C0"/>
    <w:rsid w:val="00462957"/>
    <w:rsid w:val="00481082"/>
    <w:rsid w:val="00484398"/>
    <w:rsid w:val="00490D67"/>
    <w:rsid w:val="00492D09"/>
    <w:rsid w:val="00494E47"/>
    <w:rsid w:val="004A7F18"/>
    <w:rsid w:val="004C600E"/>
    <w:rsid w:val="004E1221"/>
    <w:rsid w:val="004F3497"/>
    <w:rsid w:val="005053D4"/>
    <w:rsid w:val="00512359"/>
    <w:rsid w:val="00557E33"/>
    <w:rsid w:val="005A0DA3"/>
    <w:rsid w:val="005A0DE1"/>
    <w:rsid w:val="005D10B3"/>
    <w:rsid w:val="005D1824"/>
    <w:rsid w:val="005D7182"/>
    <w:rsid w:val="005E22AF"/>
    <w:rsid w:val="005E7B40"/>
    <w:rsid w:val="005E7FBF"/>
    <w:rsid w:val="005F3E2D"/>
    <w:rsid w:val="006212AB"/>
    <w:rsid w:val="00624382"/>
    <w:rsid w:val="006252B2"/>
    <w:rsid w:val="006A2678"/>
    <w:rsid w:val="006C1A93"/>
    <w:rsid w:val="006E3E98"/>
    <w:rsid w:val="006F107B"/>
    <w:rsid w:val="006F4BF8"/>
    <w:rsid w:val="00721AEA"/>
    <w:rsid w:val="007378C8"/>
    <w:rsid w:val="007505C1"/>
    <w:rsid w:val="007616AE"/>
    <w:rsid w:val="007764EA"/>
    <w:rsid w:val="00785C86"/>
    <w:rsid w:val="00794EA9"/>
    <w:rsid w:val="007A11DC"/>
    <w:rsid w:val="007A5C0D"/>
    <w:rsid w:val="007C32E4"/>
    <w:rsid w:val="00801108"/>
    <w:rsid w:val="00807729"/>
    <w:rsid w:val="00814BF4"/>
    <w:rsid w:val="0083319C"/>
    <w:rsid w:val="00845406"/>
    <w:rsid w:val="00850B28"/>
    <w:rsid w:val="00852A11"/>
    <w:rsid w:val="00867CB2"/>
    <w:rsid w:val="00886DBD"/>
    <w:rsid w:val="008A587A"/>
    <w:rsid w:val="008B31EE"/>
    <w:rsid w:val="008B6CB6"/>
    <w:rsid w:val="008D07C7"/>
    <w:rsid w:val="008D1EFF"/>
    <w:rsid w:val="008E5342"/>
    <w:rsid w:val="008F049B"/>
    <w:rsid w:val="008F1AE8"/>
    <w:rsid w:val="00906C77"/>
    <w:rsid w:val="00912582"/>
    <w:rsid w:val="00923DB2"/>
    <w:rsid w:val="009248E0"/>
    <w:rsid w:val="009271BD"/>
    <w:rsid w:val="00957E76"/>
    <w:rsid w:val="00970029"/>
    <w:rsid w:val="009958B5"/>
    <w:rsid w:val="009A1D80"/>
    <w:rsid w:val="009A6D7E"/>
    <w:rsid w:val="009F1A33"/>
    <w:rsid w:val="009F3BF2"/>
    <w:rsid w:val="00A07BAF"/>
    <w:rsid w:val="00A15002"/>
    <w:rsid w:val="00A61FAC"/>
    <w:rsid w:val="00A84C86"/>
    <w:rsid w:val="00A85D9C"/>
    <w:rsid w:val="00A932BD"/>
    <w:rsid w:val="00AA6B9F"/>
    <w:rsid w:val="00AC5624"/>
    <w:rsid w:val="00AD2DE2"/>
    <w:rsid w:val="00AD4C7B"/>
    <w:rsid w:val="00AE0A5F"/>
    <w:rsid w:val="00AE0DC2"/>
    <w:rsid w:val="00AE27EA"/>
    <w:rsid w:val="00AF047A"/>
    <w:rsid w:val="00B05FB8"/>
    <w:rsid w:val="00B21DC1"/>
    <w:rsid w:val="00B36BD9"/>
    <w:rsid w:val="00B42DC9"/>
    <w:rsid w:val="00B6581E"/>
    <w:rsid w:val="00B66D5B"/>
    <w:rsid w:val="00B70C24"/>
    <w:rsid w:val="00B8713E"/>
    <w:rsid w:val="00B9673A"/>
    <w:rsid w:val="00BC2FB0"/>
    <w:rsid w:val="00BD1388"/>
    <w:rsid w:val="00BD14AD"/>
    <w:rsid w:val="00C075F1"/>
    <w:rsid w:val="00C53731"/>
    <w:rsid w:val="00C62430"/>
    <w:rsid w:val="00C71683"/>
    <w:rsid w:val="00C913D7"/>
    <w:rsid w:val="00C96D75"/>
    <w:rsid w:val="00CA2119"/>
    <w:rsid w:val="00D0668A"/>
    <w:rsid w:val="00D3344E"/>
    <w:rsid w:val="00D46234"/>
    <w:rsid w:val="00D523D6"/>
    <w:rsid w:val="00D65F40"/>
    <w:rsid w:val="00D73592"/>
    <w:rsid w:val="00D8581D"/>
    <w:rsid w:val="00D95453"/>
    <w:rsid w:val="00D9637D"/>
    <w:rsid w:val="00D96EA3"/>
    <w:rsid w:val="00D973B9"/>
    <w:rsid w:val="00DB0E32"/>
    <w:rsid w:val="00DE6032"/>
    <w:rsid w:val="00E2557E"/>
    <w:rsid w:val="00E416A3"/>
    <w:rsid w:val="00E55AA2"/>
    <w:rsid w:val="00E8081E"/>
    <w:rsid w:val="00E83F3A"/>
    <w:rsid w:val="00EA349F"/>
    <w:rsid w:val="00EA4109"/>
    <w:rsid w:val="00EE4C40"/>
    <w:rsid w:val="00F21330"/>
    <w:rsid w:val="00F35CCD"/>
    <w:rsid w:val="00F56AEC"/>
    <w:rsid w:val="00FE322F"/>
    <w:rsid w:val="00FF189E"/>
    <w:rsid w:val="00FF26DE"/>
    <w:rsid w:val="00FF4357"/>
    <w:rsid w:val="00FF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A1D80"/>
  </w:style>
  <w:style w:type="paragraph" w:styleId="a3">
    <w:name w:val="header"/>
    <w:basedOn w:val="a"/>
    <w:link w:val="Char"/>
    <w:uiPriority w:val="99"/>
    <w:semiHidden/>
    <w:unhideWhenUsed/>
    <w:rsid w:val="00D33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44E"/>
    <w:rPr>
      <w:rFonts w:ascii="Times New Roman" w:eastAsia="宋体" w:hAnsi="Times New Roman" w:cs="Times New Roman"/>
      <w:sz w:val="18"/>
      <w:szCs w:val="18"/>
    </w:rPr>
  </w:style>
  <w:style w:type="paragraph" w:styleId="a4">
    <w:name w:val="footer"/>
    <w:basedOn w:val="a"/>
    <w:link w:val="Char0"/>
    <w:uiPriority w:val="99"/>
    <w:semiHidden/>
    <w:unhideWhenUsed/>
    <w:rsid w:val="00D334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44E"/>
    <w:rPr>
      <w:rFonts w:ascii="Times New Roman" w:eastAsia="宋体" w:hAnsi="Times New Roman" w:cs="Times New Roman"/>
      <w:sz w:val="18"/>
      <w:szCs w:val="18"/>
    </w:rPr>
  </w:style>
  <w:style w:type="table" w:styleId="a5">
    <w:name w:val="Table Grid"/>
    <w:basedOn w:val="a1"/>
    <w:rsid w:val="00557E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48E0"/>
    <w:pPr>
      <w:ind w:firstLineChars="200" w:firstLine="420"/>
    </w:pPr>
  </w:style>
</w:styles>
</file>

<file path=word/webSettings.xml><?xml version="1.0" encoding="utf-8"?>
<w:webSettings xmlns:r="http://schemas.openxmlformats.org/officeDocument/2006/relationships" xmlns:w="http://schemas.openxmlformats.org/wordprocessingml/2006/main">
  <w:divs>
    <w:div w:id="561595932">
      <w:bodyDiv w:val="1"/>
      <w:marLeft w:val="0"/>
      <w:marRight w:val="0"/>
      <w:marTop w:val="0"/>
      <w:marBottom w:val="0"/>
      <w:divBdr>
        <w:top w:val="none" w:sz="0" w:space="0" w:color="auto"/>
        <w:left w:val="none" w:sz="0" w:space="0" w:color="auto"/>
        <w:bottom w:val="none" w:sz="0" w:space="0" w:color="auto"/>
        <w:right w:val="none" w:sz="0" w:space="0" w:color="auto"/>
      </w:divBdr>
    </w:div>
    <w:div w:id="1010718462">
      <w:bodyDiv w:val="1"/>
      <w:marLeft w:val="0"/>
      <w:marRight w:val="0"/>
      <w:marTop w:val="0"/>
      <w:marBottom w:val="0"/>
      <w:divBdr>
        <w:top w:val="none" w:sz="0" w:space="0" w:color="auto"/>
        <w:left w:val="none" w:sz="0" w:space="0" w:color="auto"/>
        <w:bottom w:val="none" w:sz="0" w:space="0" w:color="auto"/>
        <w:right w:val="none" w:sz="0" w:space="0" w:color="auto"/>
      </w:divBdr>
    </w:div>
    <w:div w:id="11440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17</cp:revision>
  <dcterms:created xsi:type="dcterms:W3CDTF">2018-06-06T09:01:00Z</dcterms:created>
  <dcterms:modified xsi:type="dcterms:W3CDTF">2018-06-07T02:22:00Z</dcterms:modified>
</cp:coreProperties>
</file>