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BC375" w14:textId="77777777" w:rsidR="003652EB" w:rsidRDefault="00B61E7C">
      <w:pPr>
        <w:adjustRightInd w:val="0"/>
        <w:snapToGrid w:val="0"/>
        <w:spacing w:before="240" w:line="6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大理药业股份有限公司</w:t>
      </w:r>
    </w:p>
    <w:p w14:paraId="427645DC" w14:textId="77777777" w:rsidR="003652EB" w:rsidRDefault="00B61E7C">
      <w:pPr>
        <w:adjustRightInd w:val="0"/>
        <w:snapToGrid w:val="0"/>
        <w:spacing w:before="240" w:line="600" w:lineRule="exact"/>
        <w:jc w:val="center"/>
        <w:rPr>
          <w:rFonts w:asciiTheme="minorEastAsia" w:eastAsiaTheme="minorEastAsia" w:hAnsiTheme="minorEastAsia"/>
          <w:sz w:val="36"/>
          <w:szCs w:val="36"/>
        </w:rPr>
      </w:pPr>
      <w:r>
        <w:rPr>
          <w:rFonts w:asciiTheme="minorEastAsia" w:eastAsiaTheme="minorEastAsia" w:hAnsiTheme="minorEastAsia" w:hint="eastAsia"/>
          <w:b/>
          <w:sz w:val="36"/>
          <w:szCs w:val="36"/>
        </w:rPr>
        <w:t>2018年6月8日投资者调研沟通活动纪要</w:t>
      </w:r>
    </w:p>
    <w:p w14:paraId="4E62D81F" w14:textId="77777777" w:rsidR="003652EB" w:rsidRDefault="003652EB">
      <w:pPr>
        <w:adjustRightInd w:val="0"/>
        <w:snapToGrid w:val="0"/>
        <w:spacing w:line="360" w:lineRule="auto"/>
        <w:rPr>
          <w:rFonts w:asciiTheme="minorEastAsia" w:eastAsiaTheme="minorEastAsia" w:hAnsiTheme="minorEastAsia"/>
          <w:sz w:val="24"/>
          <w:szCs w:val="24"/>
        </w:rPr>
      </w:pPr>
    </w:p>
    <w:p w14:paraId="4109F6E0" w14:textId="77777777" w:rsidR="003652EB" w:rsidRDefault="00B61E7C">
      <w:pPr>
        <w:spacing w:line="360" w:lineRule="auto"/>
        <w:rPr>
          <w:b/>
          <w:sz w:val="24"/>
          <w:szCs w:val="24"/>
        </w:rPr>
      </w:pPr>
      <w:r>
        <w:rPr>
          <w:rFonts w:hint="eastAsia"/>
          <w:b/>
          <w:sz w:val="24"/>
          <w:szCs w:val="24"/>
        </w:rPr>
        <w:t>时间：</w:t>
      </w:r>
      <w:r>
        <w:rPr>
          <w:rFonts w:hint="eastAsia"/>
          <w:b/>
          <w:sz w:val="24"/>
          <w:szCs w:val="24"/>
        </w:rPr>
        <w:t>2018</w:t>
      </w:r>
      <w:r>
        <w:rPr>
          <w:rFonts w:hint="eastAsia"/>
          <w:b/>
          <w:sz w:val="24"/>
          <w:szCs w:val="24"/>
        </w:rPr>
        <w:t>年</w:t>
      </w:r>
      <w:r>
        <w:rPr>
          <w:rFonts w:hint="eastAsia"/>
          <w:b/>
          <w:sz w:val="24"/>
          <w:szCs w:val="24"/>
        </w:rPr>
        <w:t>6</w:t>
      </w:r>
      <w:r>
        <w:rPr>
          <w:rFonts w:hint="eastAsia"/>
          <w:b/>
          <w:sz w:val="24"/>
          <w:szCs w:val="24"/>
        </w:rPr>
        <w:t>月</w:t>
      </w:r>
      <w:r>
        <w:rPr>
          <w:rFonts w:hint="eastAsia"/>
          <w:b/>
          <w:sz w:val="24"/>
          <w:szCs w:val="24"/>
        </w:rPr>
        <w:t>8</w:t>
      </w:r>
      <w:r>
        <w:rPr>
          <w:rFonts w:hint="eastAsia"/>
          <w:b/>
          <w:sz w:val="24"/>
          <w:szCs w:val="24"/>
        </w:rPr>
        <w:t>日</w:t>
      </w:r>
      <w:r>
        <w:rPr>
          <w:rFonts w:hint="eastAsia"/>
          <w:b/>
          <w:sz w:val="24"/>
          <w:szCs w:val="24"/>
        </w:rPr>
        <w:t>14:00</w:t>
      </w:r>
      <w:r>
        <w:rPr>
          <w:rFonts w:hint="eastAsia"/>
          <w:b/>
          <w:sz w:val="24"/>
          <w:szCs w:val="24"/>
        </w:rPr>
        <w:t>——</w:t>
      </w:r>
      <w:r>
        <w:rPr>
          <w:rFonts w:hint="eastAsia"/>
          <w:b/>
          <w:sz w:val="24"/>
          <w:szCs w:val="24"/>
        </w:rPr>
        <w:t>15:30</w:t>
      </w:r>
    </w:p>
    <w:p w14:paraId="3650D282" w14:textId="77777777" w:rsidR="003652EB" w:rsidRDefault="00B61E7C">
      <w:pPr>
        <w:spacing w:line="360" w:lineRule="auto"/>
        <w:rPr>
          <w:b/>
          <w:sz w:val="24"/>
          <w:szCs w:val="24"/>
        </w:rPr>
      </w:pPr>
      <w:r>
        <w:rPr>
          <w:rFonts w:hint="eastAsia"/>
          <w:b/>
          <w:sz w:val="24"/>
          <w:szCs w:val="24"/>
        </w:rPr>
        <w:t>接待调研人：</w:t>
      </w:r>
    </w:p>
    <w:p w14:paraId="55A8849D" w14:textId="77777777" w:rsidR="003652EB" w:rsidRDefault="00B61E7C">
      <w:pPr>
        <w:spacing w:line="360" w:lineRule="auto"/>
        <w:rPr>
          <w:rFonts w:ascii="宋体" w:hAnsi="宋体"/>
          <w:sz w:val="24"/>
          <w:szCs w:val="24"/>
        </w:rPr>
      </w:pPr>
      <w:r>
        <w:rPr>
          <w:rFonts w:ascii="宋体" w:hAnsi="宋体" w:hint="eastAsia"/>
          <w:sz w:val="24"/>
          <w:szCs w:val="24"/>
        </w:rPr>
        <w:t>常务副总经理、董事会秘书  李现国</w:t>
      </w:r>
    </w:p>
    <w:p w14:paraId="3CF46E80" w14:textId="77777777" w:rsidR="003652EB" w:rsidRDefault="00B61E7C">
      <w:pPr>
        <w:spacing w:line="360" w:lineRule="auto"/>
        <w:rPr>
          <w:rFonts w:ascii="宋体" w:hAnsi="宋体"/>
          <w:sz w:val="24"/>
          <w:szCs w:val="24"/>
        </w:rPr>
      </w:pPr>
      <w:r>
        <w:rPr>
          <w:rFonts w:ascii="宋体" w:hAnsi="宋体" w:hint="eastAsia"/>
          <w:sz w:val="24"/>
          <w:szCs w:val="24"/>
        </w:rPr>
        <w:t>副总经理  袁玮</w:t>
      </w:r>
    </w:p>
    <w:p w14:paraId="083FFAD2" w14:textId="77777777" w:rsidR="003652EB" w:rsidRDefault="00B61E7C">
      <w:pPr>
        <w:spacing w:line="360" w:lineRule="auto"/>
        <w:rPr>
          <w:rFonts w:ascii="宋体" w:hAnsi="宋体"/>
          <w:sz w:val="24"/>
          <w:szCs w:val="24"/>
        </w:rPr>
      </w:pPr>
      <w:r>
        <w:rPr>
          <w:rFonts w:ascii="宋体" w:hAnsi="宋体" w:hint="eastAsia"/>
          <w:sz w:val="24"/>
          <w:szCs w:val="24"/>
        </w:rPr>
        <w:t>财务总监  李绍云</w:t>
      </w:r>
    </w:p>
    <w:p w14:paraId="1986075C" w14:textId="77777777" w:rsidR="003652EB" w:rsidRDefault="00B61E7C">
      <w:pPr>
        <w:spacing w:line="360" w:lineRule="auto"/>
        <w:rPr>
          <w:b/>
          <w:sz w:val="24"/>
          <w:szCs w:val="24"/>
        </w:rPr>
      </w:pPr>
      <w:r>
        <w:rPr>
          <w:rFonts w:hint="eastAsia"/>
          <w:b/>
          <w:sz w:val="24"/>
          <w:szCs w:val="24"/>
        </w:rPr>
        <w:t>参会人员：</w:t>
      </w:r>
    </w:p>
    <w:p w14:paraId="45D50952" w14:textId="77777777" w:rsidR="003652EB" w:rsidRDefault="00B61E7C">
      <w:pPr>
        <w:spacing w:line="360" w:lineRule="auto"/>
        <w:rPr>
          <w:bCs/>
          <w:sz w:val="24"/>
          <w:szCs w:val="24"/>
        </w:rPr>
      </w:pPr>
      <w:r>
        <w:rPr>
          <w:rFonts w:hint="eastAsia"/>
          <w:bCs/>
          <w:sz w:val="24"/>
          <w:szCs w:val="24"/>
        </w:rPr>
        <w:t>太平洋证券、红</w:t>
      </w:r>
      <w:proofErr w:type="gramStart"/>
      <w:r>
        <w:rPr>
          <w:rFonts w:hint="eastAsia"/>
          <w:bCs/>
          <w:sz w:val="24"/>
          <w:szCs w:val="24"/>
        </w:rPr>
        <w:t>塔证券</w:t>
      </w:r>
      <w:proofErr w:type="gramEnd"/>
      <w:r>
        <w:rPr>
          <w:rFonts w:hint="eastAsia"/>
          <w:bCs/>
          <w:sz w:val="24"/>
          <w:szCs w:val="24"/>
        </w:rPr>
        <w:t>及其组织的中小投资者代表</w:t>
      </w:r>
    </w:p>
    <w:p w14:paraId="18D371C6" w14:textId="77777777" w:rsidR="003652EB" w:rsidRDefault="003652EB">
      <w:pPr>
        <w:spacing w:line="360" w:lineRule="auto"/>
        <w:ind w:firstLineChars="200" w:firstLine="480"/>
        <w:rPr>
          <w:rFonts w:ascii="宋体" w:hAnsi="宋体"/>
          <w:sz w:val="24"/>
          <w:szCs w:val="24"/>
        </w:rPr>
      </w:pPr>
    </w:p>
    <w:p w14:paraId="02C06A63" w14:textId="77777777" w:rsidR="003652EB" w:rsidRDefault="00B61E7C">
      <w:pPr>
        <w:spacing w:line="360" w:lineRule="auto"/>
        <w:rPr>
          <w:rFonts w:ascii="宋体" w:hAnsi="宋体"/>
          <w:b/>
          <w:bCs/>
          <w:sz w:val="24"/>
          <w:szCs w:val="24"/>
        </w:rPr>
      </w:pPr>
      <w:r>
        <w:rPr>
          <w:rFonts w:ascii="宋体" w:hAnsi="宋体" w:hint="eastAsia"/>
          <w:b/>
          <w:bCs/>
          <w:sz w:val="24"/>
          <w:szCs w:val="24"/>
        </w:rPr>
        <w:t>详细纪要：</w:t>
      </w:r>
    </w:p>
    <w:p w14:paraId="2ABE06F2" w14:textId="77777777" w:rsidR="003652EB" w:rsidRDefault="00B61E7C">
      <w:pPr>
        <w:spacing w:line="360" w:lineRule="auto"/>
        <w:rPr>
          <w:rFonts w:ascii="宋体" w:hAnsi="宋体" w:cs="宋体"/>
          <w:sz w:val="28"/>
          <w:szCs w:val="28"/>
        </w:rPr>
      </w:pPr>
      <w:r>
        <w:rPr>
          <w:rFonts w:ascii="宋体" w:hAnsi="Calibri" w:cs="宋体" w:hint="eastAsia"/>
          <w:b/>
          <w:bCs/>
          <w:kern w:val="0"/>
          <w:sz w:val="24"/>
          <w:szCs w:val="24"/>
        </w:rPr>
        <w:t>1、公司现阶段生产经营中的劣势因素、主要薄弱的环节是什么？</w:t>
      </w:r>
    </w:p>
    <w:p w14:paraId="571D477C" w14:textId="2D6EE6F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公司现阶段生产经营中劣势因素、主要薄弱的环节主要是我们风险提示中的几个方面：（1）现阶段公司产品结构还比较单一，目前主导产品为醒脑静注射液和参麦注射液，</w:t>
      </w:r>
      <w:r>
        <w:rPr>
          <w:rFonts w:hint="eastAsia"/>
          <w:kern w:val="0"/>
          <w:sz w:val="24"/>
        </w:rPr>
        <w:t>如果这两大主导产品的销量或售价发生不</w:t>
      </w:r>
      <w:bookmarkStart w:id="0" w:name="_GoBack"/>
      <w:bookmarkEnd w:id="0"/>
      <w:r>
        <w:rPr>
          <w:rFonts w:hint="eastAsia"/>
          <w:kern w:val="0"/>
          <w:sz w:val="24"/>
        </w:rPr>
        <w:t>利变化，而公司又未能有效扩大</w:t>
      </w:r>
      <w:r>
        <w:rPr>
          <w:rFonts w:hint="eastAsia"/>
          <w:sz w:val="24"/>
        </w:rPr>
        <w:t>其他品种的销量和市场份额，公司经营业绩的持续增长会受到较大压力，有可能出现公司经营业绩增幅放缓甚至下滑的风险</w:t>
      </w:r>
      <w:r>
        <w:rPr>
          <w:rFonts w:ascii="宋体" w:hAnsi="Calibri" w:cs="宋体" w:hint="eastAsia"/>
          <w:kern w:val="0"/>
          <w:sz w:val="24"/>
          <w:szCs w:val="24"/>
        </w:rPr>
        <w:t>。（2）从医药行业整体上来说，随着</w:t>
      </w:r>
      <w:r>
        <w:rPr>
          <w:rFonts w:asciiTheme="minorEastAsia" w:eastAsiaTheme="minorEastAsia" w:hAnsiTheme="minorEastAsia" w:hint="eastAsia"/>
          <w:sz w:val="24"/>
          <w:szCs w:val="24"/>
        </w:rPr>
        <w:t>医药管理和流通体制改革各项政策的落地，受中药注射剂用药限制和</w:t>
      </w:r>
      <w:proofErr w:type="gramStart"/>
      <w:r>
        <w:rPr>
          <w:rFonts w:asciiTheme="minorEastAsia" w:eastAsiaTheme="minorEastAsia" w:hAnsiTheme="minorEastAsia" w:hint="eastAsia"/>
          <w:sz w:val="24"/>
          <w:szCs w:val="24"/>
        </w:rPr>
        <w:t>医保控费</w:t>
      </w:r>
      <w:proofErr w:type="gramEnd"/>
      <w:r>
        <w:rPr>
          <w:rFonts w:asciiTheme="minorEastAsia" w:eastAsiaTheme="minorEastAsia" w:hAnsiTheme="minorEastAsia" w:hint="eastAsia"/>
          <w:sz w:val="24"/>
          <w:szCs w:val="24"/>
        </w:rPr>
        <w:t>等相关政策的影响，</w:t>
      </w:r>
      <w:r>
        <w:rPr>
          <w:rFonts w:eastAsiaTheme="minorEastAsia" w:hint="eastAsia"/>
          <w:sz w:val="24"/>
          <w:szCs w:val="24"/>
        </w:rPr>
        <w:t>涉及到公司主导产品醒脑静注射液限二级及以上医疗机构并有中风昏迷、脑外伤昏迷或酒精中毒昏迷抢救的患者，参麦注射液限二级及以上医疗机构并有急救抢救临床证据或肿瘤放化疗证据的患者，</w:t>
      </w:r>
      <w:r>
        <w:rPr>
          <w:rFonts w:asciiTheme="minorEastAsia" w:eastAsiaTheme="minorEastAsia" w:hAnsiTheme="minorEastAsia" w:hint="eastAsia"/>
          <w:sz w:val="24"/>
          <w:szCs w:val="24"/>
        </w:rPr>
        <w:t>公司主导产品销售受到抑制，</w:t>
      </w:r>
      <w:r>
        <w:rPr>
          <w:rFonts w:hint="eastAsia"/>
          <w:sz w:val="24"/>
        </w:rPr>
        <w:t>公司经营业绩有下滑的风险</w:t>
      </w:r>
      <w:r>
        <w:rPr>
          <w:rFonts w:asciiTheme="minorEastAsia" w:eastAsiaTheme="minorEastAsia" w:hAnsiTheme="minorEastAsia" w:hint="eastAsia"/>
          <w:sz w:val="24"/>
          <w:szCs w:val="24"/>
        </w:rPr>
        <w:t>。</w:t>
      </w:r>
    </w:p>
    <w:p w14:paraId="194C3B2A" w14:textId="77777777" w:rsidR="003652EB" w:rsidRDefault="00B61E7C">
      <w:pPr>
        <w:spacing w:line="360" w:lineRule="auto"/>
        <w:rPr>
          <w:rFonts w:ascii="宋体" w:hAnsi="Calibri" w:cs="宋体"/>
          <w:kern w:val="0"/>
          <w:sz w:val="24"/>
          <w:szCs w:val="24"/>
        </w:rPr>
      </w:pPr>
      <w:r>
        <w:rPr>
          <w:rFonts w:ascii="宋体" w:hAnsi="Calibri" w:cs="宋体" w:hint="eastAsia"/>
          <w:b/>
          <w:bCs/>
          <w:kern w:val="0"/>
          <w:sz w:val="24"/>
          <w:szCs w:val="24"/>
        </w:rPr>
        <w:t>2、公司产品价格体系情况？</w:t>
      </w:r>
    </w:p>
    <w:p w14:paraId="1C8668F1"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医药行业的药品价格体系受政策影响较大，跟药品流通体制、药品招标政策都有较强的关联性，如果单从一个环节去解释，各位可能不能完全理解。每个省（市、区）都有药品招标安排，公司参与投标，如果公司产品在该省（市、区）中标，就会有一个中标价。“两票制”相继在全国部分省（市、区）及有关省（市、</w:t>
      </w:r>
      <w:r>
        <w:rPr>
          <w:rFonts w:ascii="宋体" w:hAnsi="Calibri" w:cs="宋体" w:hint="eastAsia"/>
          <w:kern w:val="0"/>
          <w:sz w:val="24"/>
          <w:szCs w:val="24"/>
        </w:rPr>
        <w:lastRenderedPageBreak/>
        <w:t>区）的部分市（州）、县启动和实行，公司也相应地调整了销售模式，由代理商模式逐渐向</w:t>
      </w:r>
      <w:proofErr w:type="gramStart"/>
      <w:r>
        <w:rPr>
          <w:rFonts w:ascii="宋体" w:hAnsi="Calibri" w:cs="宋体" w:hint="eastAsia"/>
          <w:kern w:val="0"/>
          <w:sz w:val="24"/>
          <w:szCs w:val="24"/>
        </w:rPr>
        <w:t>直配销售</w:t>
      </w:r>
      <w:proofErr w:type="gramEnd"/>
      <w:r>
        <w:rPr>
          <w:rFonts w:ascii="宋体" w:hAnsi="Calibri" w:cs="宋体" w:hint="eastAsia"/>
          <w:kern w:val="0"/>
          <w:sz w:val="24"/>
          <w:szCs w:val="24"/>
        </w:rPr>
        <w:t>模式过渡和转变。“两票制”实施之前，公司销售模式采用区域代理制，即公司通过各区域代理商将产品分销到各家终端医院，公司负责生产和区域代理商管理，获取生产和销售环节利益，代理商负责区域渠道开拓、市场和学术推广工作，获取区域销售环节利益，</w:t>
      </w:r>
      <w:proofErr w:type="gramStart"/>
      <w:r>
        <w:rPr>
          <w:rFonts w:ascii="宋体" w:hAnsi="Calibri" w:cs="宋体" w:hint="eastAsia"/>
          <w:kern w:val="0"/>
          <w:sz w:val="24"/>
          <w:szCs w:val="24"/>
        </w:rPr>
        <w:t>配送商</w:t>
      </w:r>
      <w:proofErr w:type="gramEnd"/>
      <w:r>
        <w:rPr>
          <w:rFonts w:ascii="宋体" w:hAnsi="Calibri" w:cs="宋体" w:hint="eastAsia"/>
          <w:kern w:val="0"/>
          <w:sz w:val="24"/>
          <w:szCs w:val="24"/>
        </w:rPr>
        <w:t>负责将药品配送至终端医院，获取固定比例（行业惯例一般为药品终端价格的8%-15%）的配送收益。按照“两票制”改革政策的要求，公司的产品销售将实现直接由公司销售到配送商，</w:t>
      </w:r>
      <w:proofErr w:type="gramStart"/>
      <w:r>
        <w:rPr>
          <w:rFonts w:ascii="宋体" w:hAnsi="Calibri" w:cs="宋体" w:hint="eastAsia"/>
          <w:kern w:val="0"/>
          <w:sz w:val="24"/>
          <w:szCs w:val="24"/>
        </w:rPr>
        <w:t>配送商配送</w:t>
      </w:r>
      <w:proofErr w:type="gramEnd"/>
      <w:r>
        <w:rPr>
          <w:rFonts w:ascii="宋体" w:hAnsi="Calibri" w:cs="宋体" w:hint="eastAsia"/>
          <w:kern w:val="0"/>
          <w:sz w:val="24"/>
          <w:szCs w:val="24"/>
        </w:rPr>
        <w:t>到医疗终端，以</w:t>
      </w:r>
      <w:proofErr w:type="gramStart"/>
      <w:r>
        <w:rPr>
          <w:rFonts w:ascii="宋体" w:hAnsi="Calibri" w:cs="宋体" w:hint="eastAsia"/>
          <w:kern w:val="0"/>
          <w:sz w:val="24"/>
          <w:szCs w:val="24"/>
        </w:rPr>
        <w:t>配送商</w:t>
      </w:r>
      <w:proofErr w:type="gramEnd"/>
      <w:r>
        <w:rPr>
          <w:rFonts w:ascii="宋体" w:hAnsi="Calibri" w:cs="宋体" w:hint="eastAsia"/>
          <w:kern w:val="0"/>
          <w:sz w:val="24"/>
          <w:szCs w:val="24"/>
        </w:rPr>
        <w:t>的价格为出厂价，由</w:t>
      </w:r>
      <w:proofErr w:type="gramStart"/>
      <w:r>
        <w:rPr>
          <w:rFonts w:ascii="宋体" w:hAnsi="Calibri" w:cs="宋体" w:hint="eastAsia"/>
          <w:kern w:val="0"/>
          <w:sz w:val="24"/>
          <w:szCs w:val="24"/>
        </w:rPr>
        <w:t>配送商</w:t>
      </w:r>
      <w:proofErr w:type="gramEnd"/>
      <w:r>
        <w:rPr>
          <w:rFonts w:ascii="宋体" w:hAnsi="Calibri" w:cs="宋体" w:hint="eastAsia"/>
          <w:kern w:val="0"/>
          <w:sz w:val="24"/>
          <w:szCs w:val="24"/>
        </w:rPr>
        <w:t>将产品配送至医院，中间的药品推广、学术推广、市场维护等改由第三</w:t>
      </w:r>
      <w:proofErr w:type="gramStart"/>
      <w:r>
        <w:rPr>
          <w:rFonts w:ascii="宋体" w:hAnsi="Calibri" w:cs="宋体" w:hint="eastAsia"/>
          <w:kern w:val="0"/>
          <w:sz w:val="24"/>
          <w:szCs w:val="24"/>
        </w:rPr>
        <w:t>方服务</w:t>
      </w:r>
      <w:proofErr w:type="gramEnd"/>
      <w:r>
        <w:rPr>
          <w:rFonts w:ascii="宋体" w:hAnsi="Calibri" w:cs="宋体" w:hint="eastAsia"/>
          <w:kern w:val="0"/>
          <w:sz w:val="24"/>
          <w:szCs w:val="24"/>
        </w:rPr>
        <w:t>机构进行，费用直接由公司支付给第三</w:t>
      </w:r>
      <w:proofErr w:type="gramStart"/>
      <w:r>
        <w:rPr>
          <w:rFonts w:ascii="宋体" w:hAnsi="Calibri" w:cs="宋体" w:hint="eastAsia"/>
          <w:kern w:val="0"/>
          <w:sz w:val="24"/>
          <w:szCs w:val="24"/>
        </w:rPr>
        <w:t>方服务</w:t>
      </w:r>
      <w:proofErr w:type="gramEnd"/>
      <w:r>
        <w:rPr>
          <w:rFonts w:ascii="宋体" w:hAnsi="Calibri" w:cs="宋体" w:hint="eastAsia"/>
          <w:kern w:val="0"/>
          <w:sz w:val="24"/>
          <w:szCs w:val="24"/>
        </w:rPr>
        <w:t>机构，这就是“两票制”实施前后价格变化的问题。“两票制”实施前在市场上已经形成主导模式的底价销售或变向底价销售的代理商模式，必然将被</w:t>
      </w:r>
      <w:proofErr w:type="gramStart"/>
      <w:r>
        <w:rPr>
          <w:rFonts w:ascii="宋体" w:hAnsi="Calibri" w:cs="宋体" w:hint="eastAsia"/>
          <w:kern w:val="0"/>
          <w:sz w:val="24"/>
          <w:szCs w:val="24"/>
        </w:rPr>
        <w:t>配送商</w:t>
      </w:r>
      <w:proofErr w:type="gramEnd"/>
      <w:r>
        <w:rPr>
          <w:rFonts w:ascii="宋体" w:hAnsi="Calibri" w:cs="宋体" w:hint="eastAsia"/>
          <w:kern w:val="0"/>
          <w:sz w:val="24"/>
          <w:szCs w:val="24"/>
        </w:rPr>
        <w:t>直接配送医院的模式替代。</w:t>
      </w:r>
      <w:bookmarkStart w:id="1" w:name="_Hlk486267277"/>
      <w:r>
        <w:rPr>
          <w:rFonts w:ascii="宋体" w:hAnsi="Calibri" w:cs="宋体" w:hint="eastAsia"/>
          <w:kern w:val="0"/>
          <w:sz w:val="24"/>
          <w:szCs w:val="24"/>
        </w:rPr>
        <w:t>从长期来看，公司将逐步参与产品的终端市场开拓、学术支持、产品推广等销售工作，向实质性的直接销售模式过渡，扁平化的药品销售渠道更有利于公司对销售渠道和终端进行有效的管理和控制。</w:t>
      </w:r>
      <w:bookmarkEnd w:id="1"/>
    </w:p>
    <w:p w14:paraId="6B749F3E" w14:textId="77777777" w:rsidR="003652EB" w:rsidRDefault="00B61E7C">
      <w:pPr>
        <w:spacing w:line="360" w:lineRule="auto"/>
        <w:rPr>
          <w:rFonts w:ascii="宋体" w:hAnsi="Calibri" w:cs="宋体"/>
          <w:kern w:val="0"/>
          <w:sz w:val="24"/>
          <w:szCs w:val="24"/>
        </w:rPr>
      </w:pPr>
      <w:r>
        <w:rPr>
          <w:rFonts w:ascii="宋体" w:hAnsi="Calibri" w:cs="宋体" w:hint="eastAsia"/>
          <w:b/>
          <w:bCs/>
          <w:kern w:val="0"/>
          <w:sz w:val="24"/>
          <w:szCs w:val="24"/>
        </w:rPr>
        <w:t>3、大理药业和珍宝岛之间的关系？</w:t>
      </w:r>
    </w:p>
    <w:p w14:paraId="740E087A"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根据《2017年年度报告》编制规则，公司需选取同行业可比公司进行研发投入情况、销售情况等进行对比。大理药业与珍宝岛的就是有着同类型产品的可比公司，在人、财、物和其他方面没有任何关联关系。</w:t>
      </w:r>
    </w:p>
    <w:p w14:paraId="5968335E" w14:textId="77777777" w:rsidR="003652EB" w:rsidRDefault="00B61E7C">
      <w:pPr>
        <w:numPr>
          <w:ilvl w:val="0"/>
          <w:numId w:val="1"/>
        </w:numPr>
        <w:spacing w:line="360" w:lineRule="auto"/>
        <w:rPr>
          <w:rFonts w:ascii="宋体" w:hAnsi="Calibri" w:cs="宋体"/>
          <w:b/>
          <w:bCs/>
          <w:kern w:val="0"/>
          <w:sz w:val="24"/>
          <w:szCs w:val="24"/>
        </w:rPr>
      </w:pPr>
      <w:r>
        <w:rPr>
          <w:rFonts w:ascii="宋体" w:hAnsi="Calibri" w:cs="宋体" w:hint="eastAsia"/>
          <w:b/>
          <w:bCs/>
          <w:kern w:val="0"/>
          <w:sz w:val="24"/>
          <w:szCs w:val="24"/>
        </w:rPr>
        <w:t>公司有准备分红的打算吗？</w:t>
      </w:r>
    </w:p>
    <w:p w14:paraId="0D879184" w14:textId="01F09024"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《大理药业股份有限公司2017年年度利润分配方案的议案》已于2018年5月23日经股东大会审议通过并形成会议决议，公司将按照相关规定在两个月内实施完毕。2017年年度利润分配方案为：向全体股东每 10 股派发现金红利 1.00 元（含税），以资本公积向全体股东每 10 股转增 3 股，2018年7月23日以前将实施完成。公司将按照相关规定向中登公司提交结算文件并确定股权登记日及除权日，及时履行相关信息披露义务。</w:t>
      </w:r>
    </w:p>
    <w:p w14:paraId="24E62BCD" w14:textId="77777777" w:rsidR="003652EB" w:rsidRDefault="00B61E7C">
      <w:pPr>
        <w:numPr>
          <w:ilvl w:val="0"/>
          <w:numId w:val="1"/>
        </w:numPr>
        <w:spacing w:line="360" w:lineRule="auto"/>
        <w:rPr>
          <w:rFonts w:ascii="宋体" w:hAnsi="Calibri" w:cs="宋体"/>
          <w:b/>
          <w:bCs/>
          <w:kern w:val="0"/>
          <w:sz w:val="24"/>
          <w:szCs w:val="24"/>
        </w:rPr>
      </w:pPr>
      <w:r>
        <w:rPr>
          <w:rFonts w:ascii="宋体" w:hAnsi="Calibri" w:cs="宋体" w:hint="eastAsia"/>
          <w:b/>
          <w:bCs/>
          <w:kern w:val="0"/>
          <w:sz w:val="24"/>
          <w:szCs w:val="24"/>
        </w:rPr>
        <w:t>公司现在的利润是多少？</w:t>
      </w:r>
    </w:p>
    <w:p w14:paraId="2D2B2FD1"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 xml:space="preserve">公司2017年度归属于上市公司股东的净利润为44,452,485.28元，截止2017年12月31日，我公司可供投资者分配的利润总额96,261,579.79 元，2018年5月23日股东大会决议进行现金分红10,000,000.00 元，剩余 </w:t>
      </w:r>
      <w:r>
        <w:rPr>
          <w:rFonts w:ascii="宋体" w:hAnsi="Calibri" w:cs="宋体" w:hint="eastAsia"/>
          <w:kern w:val="0"/>
          <w:sz w:val="24"/>
          <w:szCs w:val="24"/>
        </w:rPr>
        <w:lastRenderedPageBreak/>
        <w:t>86,261,579.79 元滚存下一年度未分配利润。</w:t>
      </w:r>
    </w:p>
    <w:p w14:paraId="6CD61E52" w14:textId="77777777" w:rsidR="003652EB" w:rsidRDefault="00B61E7C">
      <w:pPr>
        <w:numPr>
          <w:ilvl w:val="0"/>
          <w:numId w:val="1"/>
        </w:numPr>
        <w:spacing w:line="360" w:lineRule="auto"/>
        <w:rPr>
          <w:rFonts w:ascii="宋体" w:hAnsi="Calibri" w:cs="宋体"/>
          <w:b/>
          <w:bCs/>
          <w:kern w:val="0"/>
          <w:sz w:val="24"/>
          <w:szCs w:val="24"/>
        </w:rPr>
      </w:pPr>
      <w:r>
        <w:rPr>
          <w:rFonts w:ascii="宋体" w:hAnsi="Calibri" w:cs="宋体" w:hint="eastAsia"/>
          <w:b/>
          <w:bCs/>
          <w:kern w:val="0"/>
          <w:sz w:val="24"/>
          <w:szCs w:val="24"/>
        </w:rPr>
        <w:t>公司预期计划用多少利润回报投资者？</w:t>
      </w:r>
    </w:p>
    <w:p w14:paraId="6D560EDF"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第一个层面，公司的初衷和投资者的期盼是一致的。作为一家上市企业，我们的愿望是充分利用公司的条件、平台，把握好全国市场，持续提升公司业绩，把企业做大做强，能够以客观合理的收益回报投资者。第二个层面，具体的分红方案。从我们往年的</w:t>
      </w:r>
      <w:proofErr w:type="gramStart"/>
      <w:r>
        <w:rPr>
          <w:rFonts w:ascii="宋体" w:hAnsi="Calibri" w:cs="宋体" w:hint="eastAsia"/>
          <w:kern w:val="0"/>
          <w:sz w:val="24"/>
          <w:szCs w:val="24"/>
        </w:rPr>
        <w:t>的</w:t>
      </w:r>
      <w:proofErr w:type="gramEnd"/>
      <w:r>
        <w:rPr>
          <w:rFonts w:ascii="宋体" w:hAnsi="Calibri" w:cs="宋体" w:hint="eastAsia"/>
          <w:kern w:val="0"/>
          <w:sz w:val="24"/>
          <w:szCs w:val="24"/>
        </w:rPr>
        <w:t>分红情况来看，公司基本上实现全额分红，今年</w:t>
      </w:r>
      <w:proofErr w:type="gramStart"/>
      <w:r>
        <w:rPr>
          <w:rFonts w:ascii="宋体" w:hAnsi="Calibri" w:cs="宋体" w:hint="eastAsia"/>
          <w:kern w:val="0"/>
          <w:sz w:val="24"/>
          <w:szCs w:val="24"/>
        </w:rPr>
        <w:t>作出</w:t>
      </w:r>
      <w:proofErr w:type="gramEnd"/>
      <w:r>
        <w:rPr>
          <w:rFonts w:ascii="宋体" w:hAnsi="Calibri" w:cs="宋体" w:hint="eastAsia"/>
          <w:kern w:val="0"/>
          <w:sz w:val="24"/>
          <w:szCs w:val="24"/>
        </w:rPr>
        <w:t>特殊调整的原因在于：（1）“两票制”的全面推行，对原来的市场销售渠道带来一定的影响，对现金流也会产生一定的影响，以前是先款后货，所以财务中不存在应收货款，现在有一定比例的销售是先货后款，公司需承担一定的资金压力；（2）2017年9月以来，</w:t>
      </w:r>
      <w:r>
        <w:rPr>
          <w:rFonts w:asciiTheme="minorEastAsia" w:eastAsiaTheme="minorEastAsia" w:hAnsiTheme="minorEastAsia" w:hint="eastAsia"/>
          <w:sz w:val="24"/>
          <w:szCs w:val="24"/>
        </w:rPr>
        <w:t>医药管理和流通体制改革各项政策的落地</w:t>
      </w:r>
      <w:r>
        <w:rPr>
          <w:rFonts w:ascii="宋体" w:hAnsi="Calibri" w:cs="宋体" w:hint="eastAsia"/>
          <w:kern w:val="0"/>
          <w:sz w:val="24"/>
          <w:szCs w:val="24"/>
        </w:rPr>
        <w:t>，公司需要有一个时间周期和充足的现金来适应和应对政策的变化。</w:t>
      </w:r>
    </w:p>
    <w:p w14:paraId="19856E2F"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总之，公司将在持续发展的基础上创造更多的利润来回报投资者。</w:t>
      </w:r>
    </w:p>
    <w:p w14:paraId="2EE0CD94" w14:textId="77777777" w:rsidR="003652EB" w:rsidRDefault="00B61E7C">
      <w:pPr>
        <w:numPr>
          <w:ilvl w:val="0"/>
          <w:numId w:val="1"/>
        </w:numPr>
        <w:spacing w:line="360" w:lineRule="auto"/>
        <w:rPr>
          <w:rFonts w:ascii="宋体" w:hAnsi="Calibri" w:cs="宋体"/>
          <w:b/>
          <w:bCs/>
          <w:kern w:val="0"/>
          <w:sz w:val="24"/>
          <w:szCs w:val="24"/>
        </w:rPr>
      </w:pPr>
      <w:r>
        <w:rPr>
          <w:rFonts w:ascii="宋体" w:hAnsi="Calibri" w:cs="宋体" w:hint="eastAsia"/>
          <w:b/>
          <w:bCs/>
          <w:kern w:val="0"/>
          <w:sz w:val="24"/>
          <w:szCs w:val="24"/>
        </w:rPr>
        <w:t>大理药业与云南白药有没有关系？</w:t>
      </w:r>
    </w:p>
    <w:p w14:paraId="013B6BB4"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大理药业与云南白药没有任何关系。大理药业是杨君祥董事长在1996年10月创立的民营企业，于2003年引入香港立兴实业</w:t>
      </w:r>
      <w:r>
        <w:rPr>
          <w:rFonts w:hint="eastAsia"/>
          <w:kern w:val="0"/>
          <w:sz w:val="24"/>
          <w:szCs w:val="21"/>
        </w:rPr>
        <w:t>和云南创立</w:t>
      </w:r>
      <w:r>
        <w:rPr>
          <w:rFonts w:ascii="宋体" w:hAnsi="Calibri" w:cs="宋体" w:hint="eastAsia"/>
          <w:kern w:val="0"/>
          <w:sz w:val="24"/>
          <w:szCs w:val="24"/>
        </w:rPr>
        <w:t>作为战略合作伙伴，成为中外合资企业，2008年1月改制为股份有限公司，一直简称“大理药业”，2017年9月22日登陆上海证券交易所主板，公司股票在沪A板块上市交易，成为大理</w:t>
      </w:r>
      <w:proofErr w:type="gramStart"/>
      <w:r>
        <w:rPr>
          <w:rFonts w:ascii="宋体" w:hAnsi="Calibri" w:cs="宋体" w:hint="eastAsia"/>
          <w:kern w:val="0"/>
          <w:sz w:val="24"/>
          <w:szCs w:val="24"/>
        </w:rPr>
        <w:t>州唯一</w:t>
      </w:r>
      <w:proofErr w:type="gramEnd"/>
      <w:r>
        <w:rPr>
          <w:rFonts w:ascii="宋体" w:hAnsi="Calibri" w:cs="宋体" w:hint="eastAsia"/>
          <w:kern w:val="0"/>
          <w:sz w:val="24"/>
          <w:szCs w:val="24"/>
        </w:rPr>
        <w:t>一家主板上市企业。大理药业成立至今与云南白药在历史沿革、商务往来、人员等方面都没有任何关联关系。</w:t>
      </w:r>
    </w:p>
    <w:p w14:paraId="5F9F9010" w14:textId="77777777" w:rsidR="003652EB" w:rsidRDefault="00B61E7C">
      <w:pPr>
        <w:numPr>
          <w:ilvl w:val="0"/>
          <w:numId w:val="1"/>
        </w:numPr>
        <w:spacing w:line="360" w:lineRule="auto"/>
        <w:rPr>
          <w:rFonts w:ascii="宋体" w:hAnsi="Calibri" w:cs="宋体"/>
          <w:b/>
          <w:bCs/>
          <w:kern w:val="0"/>
          <w:sz w:val="24"/>
          <w:szCs w:val="24"/>
        </w:rPr>
      </w:pPr>
      <w:r>
        <w:rPr>
          <w:rFonts w:ascii="宋体" w:hAnsi="Calibri" w:cs="宋体" w:hint="eastAsia"/>
          <w:b/>
          <w:bCs/>
          <w:kern w:val="0"/>
          <w:sz w:val="24"/>
          <w:szCs w:val="24"/>
        </w:rPr>
        <w:t>2017年利润下滑的原因？</w:t>
      </w:r>
    </w:p>
    <w:p w14:paraId="07668E15"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随着</w:t>
      </w:r>
      <w:r>
        <w:rPr>
          <w:rFonts w:asciiTheme="minorEastAsia" w:eastAsiaTheme="minorEastAsia" w:hAnsiTheme="minorEastAsia" w:hint="eastAsia"/>
          <w:sz w:val="24"/>
          <w:szCs w:val="24"/>
        </w:rPr>
        <w:t>医药管理和流通体制改革各项政策的落地，受中药注射剂用药限制和</w:t>
      </w:r>
      <w:proofErr w:type="gramStart"/>
      <w:r>
        <w:rPr>
          <w:rFonts w:asciiTheme="minorEastAsia" w:eastAsiaTheme="minorEastAsia" w:hAnsiTheme="minorEastAsia" w:hint="eastAsia"/>
          <w:sz w:val="24"/>
          <w:szCs w:val="24"/>
        </w:rPr>
        <w:t>医保控费</w:t>
      </w:r>
      <w:proofErr w:type="gramEnd"/>
      <w:r>
        <w:rPr>
          <w:rFonts w:asciiTheme="minorEastAsia" w:eastAsiaTheme="minorEastAsia" w:hAnsiTheme="minorEastAsia" w:hint="eastAsia"/>
          <w:sz w:val="24"/>
          <w:szCs w:val="24"/>
        </w:rPr>
        <w:t>等相关政策的影响</w:t>
      </w:r>
      <w:r>
        <w:rPr>
          <w:rFonts w:ascii="宋体" w:hAnsi="Calibri" w:cs="宋体" w:hint="eastAsia"/>
          <w:kern w:val="0"/>
          <w:sz w:val="24"/>
          <w:szCs w:val="24"/>
        </w:rPr>
        <w:t>，“两票制”在全国范围</w:t>
      </w:r>
      <w:proofErr w:type="gramStart"/>
      <w:r>
        <w:rPr>
          <w:rFonts w:ascii="宋体" w:hAnsi="Calibri" w:cs="宋体" w:hint="eastAsia"/>
          <w:kern w:val="0"/>
          <w:sz w:val="24"/>
          <w:szCs w:val="24"/>
        </w:rPr>
        <w:t>逐步大</w:t>
      </w:r>
      <w:proofErr w:type="gramEnd"/>
      <w:r>
        <w:rPr>
          <w:rFonts w:ascii="宋体" w:hAnsi="Calibri" w:cs="宋体" w:hint="eastAsia"/>
          <w:kern w:val="0"/>
          <w:sz w:val="24"/>
          <w:szCs w:val="24"/>
        </w:rPr>
        <w:t>范围推行之下，新的结算方式对销售渠道带来的</w:t>
      </w:r>
      <w:proofErr w:type="gramStart"/>
      <w:r>
        <w:rPr>
          <w:rFonts w:ascii="宋体" w:hAnsi="Calibri" w:cs="宋体" w:hint="eastAsia"/>
          <w:kern w:val="0"/>
          <w:sz w:val="24"/>
          <w:szCs w:val="24"/>
        </w:rPr>
        <w:t>的</w:t>
      </w:r>
      <w:proofErr w:type="gramEnd"/>
      <w:r>
        <w:rPr>
          <w:rFonts w:ascii="宋体" w:hAnsi="Calibri" w:cs="宋体" w:hint="eastAsia"/>
          <w:kern w:val="0"/>
          <w:sz w:val="24"/>
          <w:szCs w:val="24"/>
        </w:rPr>
        <w:t>影响，导致销量受到抑制，所以公司2017年营业收入较上年同比下降1.10%，归属母公司净利润较上年同比下降28.49%。公司已于2018年5月25日在上海</w:t>
      </w:r>
      <w:proofErr w:type="gramStart"/>
      <w:r>
        <w:rPr>
          <w:rFonts w:ascii="宋体" w:hAnsi="Calibri" w:cs="宋体" w:hint="eastAsia"/>
          <w:kern w:val="0"/>
          <w:sz w:val="24"/>
          <w:szCs w:val="24"/>
        </w:rPr>
        <w:t>证券交易所官网披露</w:t>
      </w:r>
      <w:proofErr w:type="gramEnd"/>
      <w:r>
        <w:rPr>
          <w:rFonts w:ascii="宋体" w:hAnsi="Calibri" w:cs="宋体" w:hint="eastAsia"/>
          <w:kern w:val="0"/>
          <w:sz w:val="24"/>
          <w:szCs w:val="24"/>
        </w:rPr>
        <w:t>的《</w:t>
      </w:r>
      <w:r>
        <w:rPr>
          <w:rFonts w:ascii="宋体" w:hAnsi="宋体" w:cs="宋体"/>
          <w:sz w:val="24"/>
          <w:szCs w:val="24"/>
        </w:rPr>
        <w:t>关于 2017 年年度报告事后审核问询函的回复公告</w:t>
      </w:r>
      <w:r>
        <w:rPr>
          <w:rFonts w:ascii="宋体" w:hAnsi="Calibri" w:cs="宋体" w:hint="eastAsia"/>
          <w:kern w:val="0"/>
          <w:sz w:val="24"/>
          <w:szCs w:val="24"/>
        </w:rPr>
        <w:t>》中对2017年业绩下滑的原因作了详细说明，详细情况请查阅该公告。</w:t>
      </w:r>
    </w:p>
    <w:p w14:paraId="04657986" w14:textId="77777777" w:rsidR="003652EB" w:rsidRDefault="00B61E7C">
      <w:pPr>
        <w:numPr>
          <w:ilvl w:val="0"/>
          <w:numId w:val="1"/>
        </w:numPr>
        <w:spacing w:line="360" w:lineRule="auto"/>
        <w:rPr>
          <w:rFonts w:ascii="宋体" w:hAnsi="Calibri" w:cs="宋体"/>
          <w:b/>
          <w:bCs/>
          <w:kern w:val="0"/>
          <w:sz w:val="24"/>
          <w:szCs w:val="24"/>
        </w:rPr>
      </w:pPr>
      <w:r>
        <w:rPr>
          <w:rFonts w:ascii="宋体" w:hAnsi="Calibri" w:cs="宋体" w:hint="eastAsia"/>
          <w:b/>
          <w:bCs/>
          <w:kern w:val="0"/>
          <w:sz w:val="24"/>
          <w:szCs w:val="24"/>
        </w:rPr>
        <w:t>现阶段是继续生产的还是停产的？</w:t>
      </w:r>
    </w:p>
    <w:p w14:paraId="43F3BE81"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公司生产是正常进行的，不存在停产的情况。公司的生产计划根据市场销售</w:t>
      </w:r>
      <w:r>
        <w:rPr>
          <w:rFonts w:ascii="宋体" w:hAnsi="Calibri" w:cs="宋体" w:hint="eastAsia"/>
          <w:kern w:val="0"/>
          <w:sz w:val="24"/>
          <w:szCs w:val="24"/>
        </w:rPr>
        <w:lastRenderedPageBreak/>
        <w:t>情况进行调整，采用“以销定产”模式。当销售情况发生变化时，公司会及时调整生产计划，保障正常销售供应。目前，公司处于正常的生产状态。</w:t>
      </w:r>
    </w:p>
    <w:p w14:paraId="78E036DF" w14:textId="77777777" w:rsidR="003652EB" w:rsidRDefault="00B61E7C">
      <w:pPr>
        <w:numPr>
          <w:ilvl w:val="0"/>
          <w:numId w:val="1"/>
        </w:numPr>
        <w:spacing w:line="360" w:lineRule="auto"/>
        <w:rPr>
          <w:rFonts w:ascii="宋体" w:hAnsi="Calibri" w:cs="宋体"/>
          <w:b/>
          <w:bCs/>
          <w:kern w:val="0"/>
          <w:sz w:val="24"/>
          <w:szCs w:val="24"/>
        </w:rPr>
      </w:pPr>
      <w:r>
        <w:rPr>
          <w:rFonts w:ascii="宋体" w:hAnsi="Calibri" w:cs="宋体" w:hint="eastAsia"/>
          <w:b/>
          <w:bCs/>
          <w:kern w:val="0"/>
          <w:sz w:val="24"/>
          <w:szCs w:val="24"/>
        </w:rPr>
        <w:t>公司产品的核心竞争力？</w:t>
      </w:r>
    </w:p>
    <w:p w14:paraId="4CA60B50"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中药注射剂的发展需要提升产品自身的竞争力。针对醒脑静注射液和</w:t>
      </w:r>
      <w:proofErr w:type="gramStart"/>
      <w:r>
        <w:rPr>
          <w:rFonts w:ascii="宋体" w:hAnsi="Calibri" w:cs="宋体" w:hint="eastAsia"/>
          <w:kern w:val="0"/>
          <w:sz w:val="24"/>
          <w:szCs w:val="24"/>
        </w:rPr>
        <w:t>参麦</w:t>
      </w:r>
      <w:proofErr w:type="gramEnd"/>
      <w:r>
        <w:rPr>
          <w:rFonts w:ascii="宋体" w:hAnsi="Calibri" w:cs="宋体" w:hint="eastAsia"/>
          <w:kern w:val="0"/>
          <w:sz w:val="24"/>
          <w:szCs w:val="24"/>
        </w:rPr>
        <w:t>注射液两个主导产品，公司从药材质量把控、工艺品质提升到安全性再评价方面做了很多工作，在《招股说明书》和《2017年年度报告》中都有所说明。</w:t>
      </w:r>
    </w:p>
    <w:p w14:paraId="190CD11C"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醒脑静注射液由郁金、栀子等四味药材组成，公司分别与温州医科大学、江西林业科学院合作，从郁金和栀子药材种苗标准、种植到药材加工都进行了一系列研究，由于药材的优劣直接关系到产品的质量，所以我们通过药材研究形成了一系列的标准，用这些标准来指导种植农户进行标准化种植，从源头上保证我们的药材质量；为实现工艺、生产过程的品质把控，公司与浙江大学合作共建了中药现代化研究中心，委托其对参麦注射液、醒脑静注射液的原料及产品进行化学和药效物质基础物质研究，体内研究、过敏原筛查等研究，公司则在工艺上进行优化，增强药品有效性、安全性。目前参麦注射液已经完成相应研究，醒脑静注射液的研究正在进行中；大家今天到生产车间里也看到，公司进行了中药提取的自动化改造，参麦注射液、醒脑静注射液的改造已完成，自动化改造保证</w:t>
      </w:r>
      <w:proofErr w:type="gramStart"/>
      <w:r>
        <w:rPr>
          <w:rFonts w:ascii="宋体" w:hAnsi="Calibri" w:cs="宋体" w:hint="eastAsia"/>
          <w:kern w:val="0"/>
          <w:sz w:val="24"/>
          <w:szCs w:val="24"/>
        </w:rPr>
        <w:t>了批间产品</w:t>
      </w:r>
      <w:proofErr w:type="gramEnd"/>
      <w:r>
        <w:rPr>
          <w:rFonts w:ascii="宋体" w:hAnsi="Calibri" w:cs="宋体" w:hint="eastAsia"/>
          <w:kern w:val="0"/>
          <w:sz w:val="24"/>
          <w:szCs w:val="24"/>
        </w:rPr>
        <w:t>的稳定性。产品质量标准方面，目前公司正在配合江苏省食品药品监督检验研究院，</w:t>
      </w:r>
      <w:r>
        <w:rPr>
          <w:rFonts w:cs="宋体" w:hint="eastAsia"/>
          <w:kern w:val="0"/>
          <w:sz w:val="24"/>
        </w:rPr>
        <w:t>开展</w:t>
      </w:r>
      <w:r>
        <w:rPr>
          <w:rFonts w:ascii="宋体" w:hAnsi="Calibri" w:cs="宋体" w:hint="eastAsia"/>
          <w:kern w:val="0"/>
          <w:sz w:val="24"/>
          <w:szCs w:val="24"/>
        </w:rPr>
        <w:t>醒脑静注射液的质量标准提</w:t>
      </w:r>
      <w:r>
        <w:rPr>
          <w:rFonts w:cs="宋体" w:hint="eastAsia"/>
          <w:kern w:val="0"/>
          <w:sz w:val="24"/>
        </w:rPr>
        <w:t>高研究</w:t>
      </w:r>
      <w:r>
        <w:rPr>
          <w:rFonts w:ascii="宋体" w:hAnsi="Calibri" w:cs="宋体" w:hint="eastAsia"/>
          <w:kern w:val="0"/>
          <w:sz w:val="24"/>
          <w:szCs w:val="24"/>
        </w:rPr>
        <w:t>，</w:t>
      </w:r>
      <w:r>
        <w:rPr>
          <w:rFonts w:cs="宋体" w:hint="eastAsia"/>
          <w:kern w:val="0"/>
          <w:sz w:val="24"/>
        </w:rPr>
        <w:t>通过对质量标准指标和检验方法的深入研究，以更高的标准来进行产品检验，同时进行工艺的优化，达到生产更优的产品</w:t>
      </w:r>
      <w:r>
        <w:rPr>
          <w:rFonts w:ascii="宋体" w:hAnsi="Calibri" w:cs="宋体" w:hint="eastAsia"/>
          <w:kern w:val="0"/>
          <w:sz w:val="24"/>
          <w:szCs w:val="24"/>
        </w:rPr>
        <w:t>；产品的安全性方面，公司对醒脑静注射液、参麦注射液均完成了3000例安全性评价，评价结果显示我公司的品种不良反应发生率为“偶见”和“罕见”。</w:t>
      </w:r>
    </w:p>
    <w:p w14:paraId="1BBED8DF"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公司开展以上工作的目的就是为了提升产品的有效性安全性，保障产品安全有效、稳定均</w:t>
      </w:r>
      <w:proofErr w:type="gramStart"/>
      <w:r>
        <w:rPr>
          <w:rFonts w:ascii="宋体" w:hAnsi="Calibri" w:cs="宋体" w:hint="eastAsia"/>
          <w:kern w:val="0"/>
          <w:sz w:val="24"/>
          <w:szCs w:val="24"/>
        </w:rPr>
        <w:t>一</w:t>
      </w:r>
      <w:proofErr w:type="gramEnd"/>
      <w:r>
        <w:rPr>
          <w:rFonts w:ascii="宋体" w:hAnsi="Calibri" w:cs="宋体" w:hint="eastAsia"/>
          <w:kern w:val="0"/>
          <w:sz w:val="24"/>
          <w:szCs w:val="24"/>
        </w:rPr>
        <w:t>，从而提升产品的核心竞争力。</w:t>
      </w:r>
    </w:p>
    <w:p w14:paraId="0392913F" w14:textId="77777777" w:rsidR="003652EB" w:rsidRDefault="00B61E7C">
      <w:pPr>
        <w:numPr>
          <w:ilvl w:val="0"/>
          <w:numId w:val="1"/>
        </w:numPr>
        <w:spacing w:line="360" w:lineRule="auto"/>
        <w:rPr>
          <w:rFonts w:ascii="宋体" w:hAnsi="Calibri" w:cs="宋体"/>
          <w:b/>
          <w:bCs/>
          <w:kern w:val="0"/>
          <w:sz w:val="24"/>
          <w:szCs w:val="24"/>
        </w:rPr>
      </w:pPr>
      <w:r>
        <w:rPr>
          <w:rFonts w:ascii="宋体" w:hAnsi="Calibri" w:cs="宋体" w:hint="eastAsia"/>
          <w:b/>
          <w:bCs/>
          <w:kern w:val="0"/>
          <w:sz w:val="24"/>
          <w:szCs w:val="24"/>
        </w:rPr>
        <w:t>公司股权结构、公司高管持股及限售股解禁的情况？</w:t>
      </w:r>
    </w:p>
    <w:p w14:paraId="28DAD423"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公司首次公开发行</w:t>
      </w:r>
      <w:r>
        <w:rPr>
          <w:rFonts w:ascii="宋体" w:hAnsi="宋体" w:cs="宋体"/>
          <w:sz w:val="24"/>
          <w:szCs w:val="24"/>
        </w:rPr>
        <w:t>2,500 万股人民币普通股（A 股）</w:t>
      </w:r>
      <w:r>
        <w:rPr>
          <w:rFonts w:ascii="宋体" w:hAnsi="Calibri" w:cs="宋体" w:hint="eastAsia"/>
          <w:kern w:val="0"/>
          <w:sz w:val="24"/>
          <w:szCs w:val="24"/>
        </w:rPr>
        <w:t>，首发上市后公司的总股本为10,000万股，其中7</w:t>
      </w:r>
      <w:r>
        <w:rPr>
          <w:rFonts w:ascii="宋体" w:hAnsi="宋体" w:cs="宋体"/>
          <w:sz w:val="24"/>
          <w:szCs w:val="24"/>
        </w:rPr>
        <w:t>,500 万股</w:t>
      </w:r>
      <w:r>
        <w:rPr>
          <w:rFonts w:ascii="宋体" w:hAnsi="宋体" w:cs="宋体" w:hint="eastAsia"/>
          <w:sz w:val="24"/>
          <w:szCs w:val="24"/>
        </w:rPr>
        <w:t>为限售股，</w:t>
      </w:r>
      <w:r>
        <w:rPr>
          <w:rFonts w:ascii="宋体" w:hAnsi="宋体" w:cs="宋体"/>
          <w:sz w:val="24"/>
          <w:szCs w:val="24"/>
        </w:rPr>
        <w:t>2,500 万股</w:t>
      </w:r>
      <w:r>
        <w:rPr>
          <w:rFonts w:ascii="宋体" w:hAnsi="宋体" w:cs="宋体" w:hint="eastAsia"/>
          <w:sz w:val="24"/>
          <w:szCs w:val="24"/>
        </w:rPr>
        <w:t>为流通股</w:t>
      </w:r>
      <w:r>
        <w:rPr>
          <w:rFonts w:ascii="宋体" w:hAnsi="Calibri" w:cs="宋体" w:hint="eastAsia"/>
          <w:kern w:val="0"/>
          <w:sz w:val="24"/>
          <w:szCs w:val="24"/>
        </w:rPr>
        <w:t>。目前公司股权结构中有两类限售股，第一类是锁定1年期的，即立兴实业、新疆立兴和远山投资；第二类是锁定3年期的，即杨君祥先生、尹翠仙女士、杨清龙先生、</w:t>
      </w:r>
      <w:r>
        <w:rPr>
          <w:rFonts w:ascii="宋体" w:hAnsi="Calibri" w:cs="宋体" w:hint="eastAsia"/>
          <w:kern w:val="0"/>
          <w:sz w:val="24"/>
          <w:szCs w:val="24"/>
        </w:rPr>
        <w:lastRenderedPageBreak/>
        <w:t>杨君卫先生。目前处于首次公开发行股权锁定期的股东均未到解禁期，且尚无股东明确表示有到期减持的打算。解禁期满后，股东依法依规决定是否出售所持股份为股东的合法权益，如果担任公司</w:t>
      </w:r>
      <w:proofErr w:type="gramStart"/>
      <w:r>
        <w:rPr>
          <w:rFonts w:ascii="宋体" w:hAnsi="Calibri" w:cs="宋体" w:hint="eastAsia"/>
          <w:kern w:val="0"/>
          <w:sz w:val="24"/>
          <w:szCs w:val="24"/>
        </w:rPr>
        <w:t>董监高的</w:t>
      </w:r>
      <w:proofErr w:type="gramEnd"/>
      <w:r>
        <w:rPr>
          <w:rFonts w:ascii="宋体" w:hAnsi="Calibri" w:cs="宋体" w:hint="eastAsia"/>
          <w:kern w:val="0"/>
          <w:sz w:val="24"/>
          <w:szCs w:val="24"/>
        </w:rPr>
        <w:t>自然人股东在解禁期满后有减持计划，公司将按照相关规则履行信息披露义务。</w:t>
      </w:r>
    </w:p>
    <w:p w14:paraId="6E0909AB" w14:textId="77777777" w:rsidR="003652EB" w:rsidRDefault="00B61E7C">
      <w:pPr>
        <w:numPr>
          <w:ilvl w:val="0"/>
          <w:numId w:val="1"/>
        </w:numPr>
        <w:spacing w:line="360" w:lineRule="auto"/>
        <w:rPr>
          <w:rFonts w:ascii="宋体" w:hAnsi="Calibri" w:cs="宋体"/>
          <w:b/>
          <w:bCs/>
          <w:kern w:val="0"/>
          <w:sz w:val="24"/>
          <w:szCs w:val="24"/>
        </w:rPr>
      </w:pPr>
      <w:r>
        <w:rPr>
          <w:rFonts w:ascii="宋体" w:hAnsi="Calibri" w:cs="宋体" w:hint="eastAsia"/>
          <w:b/>
          <w:bCs/>
          <w:kern w:val="0"/>
          <w:sz w:val="24"/>
          <w:szCs w:val="24"/>
        </w:rPr>
        <w:t>公司有没有超过500万的关联交易？</w:t>
      </w:r>
    </w:p>
    <w:p w14:paraId="6BC4E5D8"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公司没有任何应披露而未披露的关联交易。</w:t>
      </w:r>
    </w:p>
    <w:p w14:paraId="7BB29211" w14:textId="77777777" w:rsidR="003652EB" w:rsidRDefault="00B61E7C">
      <w:pPr>
        <w:spacing w:line="360" w:lineRule="auto"/>
        <w:ind w:firstLineChars="200" w:firstLine="480"/>
        <w:rPr>
          <w:rFonts w:ascii="宋体" w:hAnsi="Calibri" w:cs="宋体"/>
          <w:kern w:val="0"/>
          <w:sz w:val="24"/>
          <w:szCs w:val="24"/>
        </w:rPr>
      </w:pPr>
      <w:r>
        <w:rPr>
          <w:rFonts w:ascii="宋体" w:hAnsi="Calibri" w:cs="宋体" w:hint="eastAsia"/>
          <w:kern w:val="0"/>
          <w:sz w:val="24"/>
          <w:szCs w:val="24"/>
        </w:rPr>
        <w:t>公司将尽量避免和减少关联交易，如果发生关联交易，公司将按照相关规则严格履行关联交易审议程序并及时履行披露义务，对投资者负责。</w:t>
      </w:r>
    </w:p>
    <w:p w14:paraId="0C9A8719" w14:textId="77777777" w:rsidR="003652EB" w:rsidRDefault="003652EB">
      <w:pPr>
        <w:pStyle w:val="Default"/>
        <w:spacing w:line="360" w:lineRule="auto"/>
        <w:ind w:firstLineChars="200" w:firstLine="480"/>
        <w:jc w:val="both"/>
        <w:rPr>
          <w:color w:val="auto"/>
        </w:rPr>
      </w:pPr>
    </w:p>
    <w:p w14:paraId="1F3D735F" w14:textId="77777777" w:rsidR="003652EB" w:rsidRDefault="003652EB">
      <w:pPr>
        <w:overflowPunct w:val="0"/>
        <w:spacing w:line="360" w:lineRule="auto"/>
        <w:ind w:firstLineChars="200" w:firstLine="480"/>
        <w:rPr>
          <w:sz w:val="24"/>
          <w:szCs w:val="24"/>
        </w:rPr>
      </w:pPr>
    </w:p>
    <w:p w14:paraId="137FBA36" w14:textId="77777777" w:rsidR="003652EB" w:rsidRDefault="003652EB">
      <w:pPr>
        <w:wordWrap w:val="0"/>
        <w:adjustRightInd w:val="0"/>
        <w:snapToGrid w:val="0"/>
        <w:spacing w:line="560" w:lineRule="exact"/>
        <w:ind w:right="120"/>
        <w:jc w:val="right"/>
        <w:rPr>
          <w:rFonts w:asciiTheme="minorEastAsia" w:eastAsiaTheme="minorEastAsia" w:hAnsiTheme="minorEastAsia"/>
          <w:sz w:val="24"/>
          <w:szCs w:val="24"/>
        </w:rPr>
      </w:pPr>
      <w:bookmarkStart w:id="2" w:name="_Toc340839634"/>
      <w:bookmarkStart w:id="3" w:name="_Toc329775046"/>
      <w:bookmarkStart w:id="4" w:name="_Toc330904149"/>
      <w:bookmarkStart w:id="5" w:name="_Toc329786096"/>
      <w:bookmarkEnd w:id="2"/>
      <w:bookmarkEnd w:id="3"/>
      <w:bookmarkEnd w:id="4"/>
      <w:bookmarkEnd w:id="5"/>
    </w:p>
    <w:sectPr w:rsidR="003652E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F9EF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FF9F"/>
    <w:multiLevelType w:val="singleLevel"/>
    <w:tmpl w:val="07D1FF9F"/>
    <w:lvl w:ilvl="0">
      <w:start w:val="4"/>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0B"/>
    <w:rsid w:val="000044E8"/>
    <w:rsid w:val="00005823"/>
    <w:rsid w:val="00034ED1"/>
    <w:rsid w:val="000A106E"/>
    <w:rsid w:val="000A2955"/>
    <w:rsid w:val="000A5822"/>
    <w:rsid w:val="000B265E"/>
    <w:rsid w:val="000B27C6"/>
    <w:rsid w:val="000D0F4C"/>
    <w:rsid w:val="000D329B"/>
    <w:rsid w:val="000D4B91"/>
    <w:rsid w:val="000E7E31"/>
    <w:rsid w:val="000F0B81"/>
    <w:rsid w:val="000F3975"/>
    <w:rsid w:val="00100067"/>
    <w:rsid w:val="00105A3E"/>
    <w:rsid w:val="00133B22"/>
    <w:rsid w:val="00144F70"/>
    <w:rsid w:val="00164C52"/>
    <w:rsid w:val="00171ED1"/>
    <w:rsid w:val="00196B2C"/>
    <w:rsid w:val="001A1B38"/>
    <w:rsid w:val="001D27BC"/>
    <w:rsid w:val="001D35D9"/>
    <w:rsid w:val="001D3BCD"/>
    <w:rsid w:val="001D43DC"/>
    <w:rsid w:val="001E28C3"/>
    <w:rsid w:val="001E44BC"/>
    <w:rsid w:val="001E75C2"/>
    <w:rsid w:val="001F483C"/>
    <w:rsid w:val="00210AAE"/>
    <w:rsid w:val="00210F7E"/>
    <w:rsid w:val="002425EF"/>
    <w:rsid w:val="0024297E"/>
    <w:rsid w:val="00251FF4"/>
    <w:rsid w:val="00256A39"/>
    <w:rsid w:val="002618E1"/>
    <w:rsid w:val="002774E8"/>
    <w:rsid w:val="00282125"/>
    <w:rsid w:val="002B5E86"/>
    <w:rsid w:val="002C4005"/>
    <w:rsid w:val="002D37FD"/>
    <w:rsid w:val="002D7659"/>
    <w:rsid w:val="002F1F31"/>
    <w:rsid w:val="002F257E"/>
    <w:rsid w:val="002F3E16"/>
    <w:rsid w:val="00302F15"/>
    <w:rsid w:val="00312831"/>
    <w:rsid w:val="003168F2"/>
    <w:rsid w:val="00322759"/>
    <w:rsid w:val="00323264"/>
    <w:rsid w:val="0032799C"/>
    <w:rsid w:val="00341233"/>
    <w:rsid w:val="00352D7A"/>
    <w:rsid w:val="003652EB"/>
    <w:rsid w:val="00366438"/>
    <w:rsid w:val="00376D5E"/>
    <w:rsid w:val="003847E0"/>
    <w:rsid w:val="003A7CBB"/>
    <w:rsid w:val="003B4124"/>
    <w:rsid w:val="003B5108"/>
    <w:rsid w:val="003B65BF"/>
    <w:rsid w:val="003C5374"/>
    <w:rsid w:val="003E3835"/>
    <w:rsid w:val="003E46B0"/>
    <w:rsid w:val="00400559"/>
    <w:rsid w:val="00405719"/>
    <w:rsid w:val="004151F3"/>
    <w:rsid w:val="00435B32"/>
    <w:rsid w:val="004420FC"/>
    <w:rsid w:val="00445964"/>
    <w:rsid w:val="004803B5"/>
    <w:rsid w:val="00495C6D"/>
    <w:rsid w:val="00495FC3"/>
    <w:rsid w:val="004B578E"/>
    <w:rsid w:val="004B6B2E"/>
    <w:rsid w:val="004C42DE"/>
    <w:rsid w:val="004C710E"/>
    <w:rsid w:val="004E123C"/>
    <w:rsid w:val="00514080"/>
    <w:rsid w:val="00516852"/>
    <w:rsid w:val="00541186"/>
    <w:rsid w:val="00542F80"/>
    <w:rsid w:val="00562F54"/>
    <w:rsid w:val="0057444D"/>
    <w:rsid w:val="00576F90"/>
    <w:rsid w:val="005839F2"/>
    <w:rsid w:val="00590E31"/>
    <w:rsid w:val="005932DF"/>
    <w:rsid w:val="005B1F96"/>
    <w:rsid w:val="005B2F06"/>
    <w:rsid w:val="005B5F31"/>
    <w:rsid w:val="005F206F"/>
    <w:rsid w:val="00624A29"/>
    <w:rsid w:val="00637179"/>
    <w:rsid w:val="006531FC"/>
    <w:rsid w:val="00662A7E"/>
    <w:rsid w:val="00664FCC"/>
    <w:rsid w:val="00671862"/>
    <w:rsid w:val="00672026"/>
    <w:rsid w:val="0068174F"/>
    <w:rsid w:val="006B503E"/>
    <w:rsid w:val="006C1FDE"/>
    <w:rsid w:val="006C483A"/>
    <w:rsid w:val="006C537C"/>
    <w:rsid w:val="006D51E1"/>
    <w:rsid w:val="006E549A"/>
    <w:rsid w:val="00700A0B"/>
    <w:rsid w:val="00704DD9"/>
    <w:rsid w:val="00706CB4"/>
    <w:rsid w:val="00725BBB"/>
    <w:rsid w:val="00741EFA"/>
    <w:rsid w:val="007535D6"/>
    <w:rsid w:val="007805E4"/>
    <w:rsid w:val="00782E06"/>
    <w:rsid w:val="0078703A"/>
    <w:rsid w:val="007A46C7"/>
    <w:rsid w:val="007A4804"/>
    <w:rsid w:val="007B2E5B"/>
    <w:rsid w:val="007D0097"/>
    <w:rsid w:val="008046DF"/>
    <w:rsid w:val="00817C6D"/>
    <w:rsid w:val="00846E73"/>
    <w:rsid w:val="00857F1E"/>
    <w:rsid w:val="00872E2F"/>
    <w:rsid w:val="00877F26"/>
    <w:rsid w:val="008A3653"/>
    <w:rsid w:val="008B5B20"/>
    <w:rsid w:val="008D3017"/>
    <w:rsid w:val="008D5F50"/>
    <w:rsid w:val="00906EEE"/>
    <w:rsid w:val="009318DD"/>
    <w:rsid w:val="0093593E"/>
    <w:rsid w:val="00941B4E"/>
    <w:rsid w:val="00966812"/>
    <w:rsid w:val="009A16BA"/>
    <w:rsid w:val="009A4714"/>
    <w:rsid w:val="009A514A"/>
    <w:rsid w:val="009A7B8F"/>
    <w:rsid w:val="009B388D"/>
    <w:rsid w:val="009E51E3"/>
    <w:rsid w:val="00A023A3"/>
    <w:rsid w:val="00A05C35"/>
    <w:rsid w:val="00A12FA4"/>
    <w:rsid w:val="00A1452E"/>
    <w:rsid w:val="00A35246"/>
    <w:rsid w:val="00A41AE9"/>
    <w:rsid w:val="00A53F4C"/>
    <w:rsid w:val="00A653AE"/>
    <w:rsid w:val="00A662A7"/>
    <w:rsid w:val="00A70B8F"/>
    <w:rsid w:val="00A81596"/>
    <w:rsid w:val="00A92458"/>
    <w:rsid w:val="00AA10D5"/>
    <w:rsid w:val="00AB509E"/>
    <w:rsid w:val="00AF1B92"/>
    <w:rsid w:val="00B10F61"/>
    <w:rsid w:val="00B214C3"/>
    <w:rsid w:val="00B3751E"/>
    <w:rsid w:val="00B61E7C"/>
    <w:rsid w:val="00B66846"/>
    <w:rsid w:val="00B757C1"/>
    <w:rsid w:val="00B96D4D"/>
    <w:rsid w:val="00BB1B3E"/>
    <w:rsid w:val="00BB7BC2"/>
    <w:rsid w:val="00BC6B71"/>
    <w:rsid w:val="00BC79C5"/>
    <w:rsid w:val="00BD3CED"/>
    <w:rsid w:val="00BD51F6"/>
    <w:rsid w:val="00C015A6"/>
    <w:rsid w:val="00C023D1"/>
    <w:rsid w:val="00C05CB4"/>
    <w:rsid w:val="00C0786B"/>
    <w:rsid w:val="00C1546A"/>
    <w:rsid w:val="00C5267F"/>
    <w:rsid w:val="00C53F89"/>
    <w:rsid w:val="00C77154"/>
    <w:rsid w:val="00C93FD2"/>
    <w:rsid w:val="00C9568C"/>
    <w:rsid w:val="00CA4F9E"/>
    <w:rsid w:val="00CB17D0"/>
    <w:rsid w:val="00CC25BD"/>
    <w:rsid w:val="00CD4CFC"/>
    <w:rsid w:val="00CF0248"/>
    <w:rsid w:val="00D01A68"/>
    <w:rsid w:val="00DA3684"/>
    <w:rsid w:val="00DA4851"/>
    <w:rsid w:val="00DD6C5B"/>
    <w:rsid w:val="00E01CC5"/>
    <w:rsid w:val="00E076C1"/>
    <w:rsid w:val="00E12751"/>
    <w:rsid w:val="00E9061A"/>
    <w:rsid w:val="00E9427A"/>
    <w:rsid w:val="00EB37CA"/>
    <w:rsid w:val="00ED0095"/>
    <w:rsid w:val="00EE6C50"/>
    <w:rsid w:val="00F11B47"/>
    <w:rsid w:val="00F13E5E"/>
    <w:rsid w:val="00F23C91"/>
    <w:rsid w:val="00F42480"/>
    <w:rsid w:val="00F526CB"/>
    <w:rsid w:val="00F6170B"/>
    <w:rsid w:val="00F8076D"/>
    <w:rsid w:val="00F937C7"/>
    <w:rsid w:val="00FA7273"/>
    <w:rsid w:val="00FA7C95"/>
    <w:rsid w:val="00FC24A4"/>
    <w:rsid w:val="00FC674E"/>
    <w:rsid w:val="00FE44E1"/>
    <w:rsid w:val="00FE7EC4"/>
    <w:rsid w:val="00FF3139"/>
    <w:rsid w:val="02F51B80"/>
    <w:rsid w:val="030418F7"/>
    <w:rsid w:val="0AB94799"/>
    <w:rsid w:val="0B7C611D"/>
    <w:rsid w:val="102D3A2C"/>
    <w:rsid w:val="104D59EB"/>
    <w:rsid w:val="12B529C7"/>
    <w:rsid w:val="153866A4"/>
    <w:rsid w:val="1554306B"/>
    <w:rsid w:val="17260BA7"/>
    <w:rsid w:val="1A000B7C"/>
    <w:rsid w:val="1BB73A4E"/>
    <w:rsid w:val="1EDE11D3"/>
    <w:rsid w:val="1F465394"/>
    <w:rsid w:val="22341036"/>
    <w:rsid w:val="23C47C07"/>
    <w:rsid w:val="2451549E"/>
    <w:rsid w:val="25421828"/>
    <w:rsid w:val="26561F6D"/>
    <w:rsid w:val="27166EA2"/>
    <w:rsid w:val="27823048"/>
    <w:rsid w:val="2A7D6916"/>
    <w:rsid w:val="2EC729ED"/>
    <w:rsid w:val="2EFA3F38"/>
    <w:rsid w:val="2F0C07D8"/>
    <w:rsid w:val="35490B99"/>
    <w:rsid w:val="389557FC"/>
    <w:rsid w:val="38F54B77"/>
    <w:rsid w:val="39BB1F5D"/>
    <w:rsid w:val="3DBB49E0"/>
    <w:rsid w:val="3E115919"/>
    <w:rsid w:val="41D93D4C"/>
    <w:rsid w:val="437B47AA"/>
    <w:rsid w:val="44E07FF2"/>
    <w:rsid w:val="47054899"/>
    <w:rsid w:val="4BBA5A0A"/>
    <w:rsid w:val="4C827FF0"/>
    <w:rsid w:val="4F897486"/>
    <w:rsid w:val="52C7081A"/>
    <w:rsid w:val="54E32ED4"/>
    <w:rsid w:val="553D1F8B"/>
    <w:rsid w:val="57620AF3"/>
    <w:rsid w:val="59160E9E"/>
    <w:rsid w:val="5FB97589"/>
    <w:rsid w:val="61D63DB1"/>
    <w:rsid w:val="61FB3B89"/>
    <w:rsid w:val="62FE7C10"/>
    <w:rsid w:val="65787966"/>
    <w:rsid w:val="69906AD3"/>
    <w:rsid w:val="6D6A2CA8"/>
    <w:rsid w:val="72E27BBE"/>
    <w:rsid w:val="76433D5D"/>
    <w:rsid w:val="78965420"/>
    <w:rsid w:val="7A3F13ED"/>
    <w:rsid w:val="7BC56BE0"/>
    <w:rsid w:val="7C9540A4"/>
    <w:rsid w:val="7D894390"/>
    <w:rsid w:val="7FAD5D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table" w:styleId="aa">
    <w:name w:val="Table Grid"/>
    <w:basedOn w:val="a1"/>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rFonts w:ascii="Times New Roman" w:eastAsia="宋体" w:hAnsi="Times New Roman" w:cs="Times New Roman"/>
      <w:kern w:val="2"/>
      <w:sz w:val="18"/>
      <w:szCs w:val="18"/>
    </w:rPr>
  </w:style>
  <w:style w:type="paragraph" w:customStyle="1" w:styleId="Default">
    <w:name w:val="Default"/>
    <w:basedOn w:val="a"/>
    <w:qFormat/>
    <w:pPr>
      <w:autoSpaceDE w:val="0"/>
      <w:autoSpaceDN w:val="0"/>
      <w:adjustRightInd w:val="0"/>
      <w:jc w:val="left"/>
    </w:pPr>
    <w:rPr>
      <w:rFonts w:ascii="宋体" w:hAnsi="Calibri" w:cs="宋体"/>
      <w:color w:val="000000"/>
      <w:kern w:val="0"/>
      <w:sz w:val="24"/>
      <w:szCs w:val="24"/>
    </w:rPr>
  </w:style>
  <w:style w:type="character" w:customStyle="1" w:styleId="Char0">
    <w:name w:val="批注文字 Char"/>
    <w:basedOn w:val="a0"/>
    <w:link w:val="a4"/>
    <w:uiPriority w:val="99"/>
    <w:semiHidden/>
    <w:qFormat/>
    <w:rPr>
      <w:rFonts w:ascii="Times New Roman" w:eastAsia="宋体" w:hAnsi="Times New Roman" w:cs="Times New Roman"/>
      <w:kern w:val="2"/>
      <w:sz w:val="21"/>
    </w:rPr>
  </w:style>
  <w:style w:type="character" w:customStyle="1" w:styleId="Char">
    <w:name w:val="批注主题 Char"/>
    <w:basedOn w:val="Char0"/>
    <w:link w:val="a3"/>
    <w:uiPriority w:val="99"/>
    <w:semiHidden/>
    <w:qFormat/>
    <w:rPr>
      <w:rFonts w:ascii="Times New Roman" w:eastAsia="宋体" w:hAnsi="Times New Roman" w:cs="Times New Roman"/>
      <w:b/>
      <w:bCs/>
      <w:kern w:val="2"/>
      <w:sz w:val="21"/>
    </w:rPr>
  </w:style>
  <w:style w:type="paragraph" w:customStyle="1" w:styleId="2">
    <w:name w:val="列出段落2"/>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table" w:styleId="aa">
    <w:name w:val="Table Grid"/>
    <w:basedOn w:val="a1"/>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rFonts w:ascii="Times New Roman" w:eastAsia="宋体" w:hAnsi="Times New Roman" w:cs="Times New Roman"/>
      <w:kern w:val="2"/>
      <w:sz w:val="18"/>
      <w:szCs w:val="18"/>
    </w:rPr>
  </w:style>
  <w:style w:type="paragraph" w:customStyle="1" w:styleId="Default">
    <w:name w:val="Default"/>
    <w:basedOn w:val="a"/>
    <w:qFormat/>
    <w:pPr>
      <w:autoSpaceDE w:val="0"/>
      <w:autoSpaceDN w:val="0"/>
      <w:adjustRightInd w:val="0"/>
      <w:jc w:val="left"/>
    </w:pPr>
    <w:rPr>
      <w:rFonts w:ascii="宋体" w:hAnsi="Calibri" w:cs="宋体"/>
      <w:color w:val="000000"/>
      <w:kern w:val="0"/>
      <w:sz w:val="24"/>
      <w:szCs w:val="24"/>
    </w:rPr>
  </w:style>
  <w:style w:type="character" w:customStyle="1" w:styleId="Char0">
    <w:name w:val="批注文字 Char"/>
    <w:basedOn w:val="a0"/>
    <w:link w:val="a4"/>
    <w:uiPriority w:val="99"/>
    <w:semiHidden/>
    <w:qFormat/>
    <w:rPr>
      <w:rFonts w:ascii="Times New Roman" w:eastAsia="宋体" w:hAnsi="Times New Roman" w:cs="Times New Roman"/>
      <w:kern w:val="2"/>
      <w:sz w:val="21"/>
    </w:rPr>
  </w:style>
  <w:style w:type="character" w:customStyle="1" w:styleId="Char">
    <w:name w:val="批注主题 Char"/>
    <w:basedOn w:val="Char0"/>
    <w:link w:val="a3"/>
    <w:uiPriority w:val="99"/>
    <w:semiHidden/>
    <w:qFormat/>
    <w:rPr>
      <w:rFonts w:ascii="Times New Roman" w:eastAsia="宋体" w:hAnsi="Times New Roman" w:cs="Times New Roman"/>
      <w:b/>
      <w:bCs/>
      <w:kern w:val="2"/>
      <w:sz w:val="21"/>
    </w:rPr>
  </w:style>
  <w:style w:type="paragraph" w:customStyle="1" w:styleId="2">
    <w:name w:val="列出段落2"/>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microsoft.com/office/2007/relationships/stylesWithEffects" Target="stylesWithEffect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E0AE2-EEF9-414E-8D58-C99CD4F8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548</Words>
  <Characters>3129</Characters>
  <Application>Microsoft Office Word</Application>
  <DocSecurity>0</DocSecurity>
  <Lines>26</Lines>
  <Paragraphs>7</Paragraphs>
  <ScaleCrop>false</ScaleCrop>
  <Company>Hewlett-Packard Company</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dlyy</cp:lastModifiedBy>
  <cp:revision>5</cp:revision>
  <cp:lastPrinted>2017-12-28T06:14:00Z</cp:lastPrinted>
  <dcterms:created xsi:type="dcterms:W3CDTF">2018-06-20T03:57:00Z</dcterms:created>
  <dcterms:modified xsi:type="dcterms:W3CDTF">2018-06-20T07:28:00Z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