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A6" w:rsidRPr="001B4ADB" w:rsidRDefault="00352975" w:rsidP="00905D88">
      <w:pPr>
        <w:jc w:val="center"/>
        <w:rPr>
          <w:b/>
        </w:rPr>
      </w:pPr>
      <w:r>
        <w:rPr>
          <w:rFonts w:hint="eastAsia"/>
          <w:b/>
        </w:rPr>
        <w:t>201</w:t>
      </w:r>
      <w:r w:rsidR="00831787">
        <w:rPr>
          <w:rFonts w:hint="eastAsia"/>
          <w:b/>
        </w:rPr>
        <w:t>8</w:t>
      </w:r>
      <w:r w:rsidR="001B4ADB" w:rsidRPr="001B4ADB">
        <w:rPr>
          <w:rFonts w:hint="eastAsia"/>
          <w:b/>
        </w:rPr>
        <w:t>年</w:t>
      </w:r>
      <w:r w:rsidR="004F6320">
        <w:rPr>
          <w:rFonts w:hint="eastAsia"/>
          <w:b/>
        </w:rPr>
        <w:t>6</w:t>
      </w:r>
      <w:r w:rsidR="00D354C9">
        <w:rPr>
          <w:rFonts w:hint="eastAsia"/>
          <w:b/>
        </w:rPr>
        <w:t>-</w:t>
      </w:r>
      <w:r w:rsidR="004F6320">
        <w:rPr>
          <w:rFonts w:hint="eastAsia"/>
          <w:b/>
        </w:rPr>
        <w:t>9</w:t>
      </w:r>
      <w:r w:rsidR="001B4ADB" w:rsidRPr="001B4ADB">
        <w:rPr>
          <w:rFonts w:hint="eastAsia"/>
          <w:b/>
        </w:rPr>
        <w:t>月投资者关系活动记录表</w:t>
      </w:r>
    </w:p>
    <w:tbl>
      <w:tblPr>
        <w:tblpPr w:leftFromText="180" w:rightFromText="180" w:vertAnchor="text" w:horzAnchor="page" w:tblpXSpec="center" w:tblpY="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87"/>
        <w:gridCol w:w="2542"/>
        <w:gridCol w:w="3730"/>
        <w:gridCol w:w="5706"/>
      </w:tblGrid>
      <w:tr w:rsidR="001B4ADB" w:rsidRPr="00001AA6" w:rsidTr="009B5C3A">
        <w:trPr>
          <w:trHeight w:val="389"/>
        </w:trPr>
        <w:tc>
          <w:tcPr>
            <w:tcW w:w="1444" w:type="dxa"/>
            <w:shd w:val="clear" w:color="auto" w:fill="auto"/>
            <w:noWrap/>
            <w:vAlign w:val="center"/>
          </w:tcPr>
          <w:p w:rsidR="001B4ADB" w:rsidRPr="00001AA6" w:rsidRDefault="001B4ADB" w:rsidP="00A66718">
            <w:pPr>
              <w:widowControl/>
              <w:jc w:val="center"/>
              <w:rPr>
                <w:rFonts w:asciiTheme="minorEastAsia" w:hAnsiTheme="minorEastAsia" w:cs="宋体"/>
                <w:kern w:val="0"/>
                <w:sz w:val="18"/>
                <w:szCs w:val="18"/>
              </w:rPr>
            </w:pPr>
            <w:r w:rsidRPr="00F63248">
              <w:rPr>
                <w:rFonts w:ascii="宋体" w:eastAsia="宋体" w:hAnsi="宋体" w:cs="宋体" w:hint="eastAsia"/>
                <w:b/>
                <w:bCs/>
                <w:kern w:val="0"/>
                <w:szCs w:val="21"/>
              </w:rPr>
              <w:t>接待时间</w:t>
            </w:r>
          </w:p>
        </w:tc>
        <w:tc>
          <w:tcPr>
            <w:tcW w:w="1287" w:type="dxa"/>
            <w:shd w:val="clear" w:color="auto" w:fill="auto"/>
            <w:vAlign w:val="center"/>
          </w:tcPr>
          <w:p w:rsidR="001B4ADB" w:rsidRPr="00001AA6" w:rsidRDefault="001B4ADB" w:rsidP="00982387">
            <w:pPr>
              <w:widowControl/>
              <w:jc w:val="center"/>
              <w:rPr>
                <w:rFonts w:asciiTheme="minorEastAsia" w:hAnsiTheme="minorEastAsia" w:cs="宋体"/>
                <w:kern w:val="0"/>
                <w:sz w:val="18"/>
                <w:szCs w:val="18"/>
              </w:rPr>
            </w:pPr>
            <w:r w:rsidRPr="00F63248">
              <w:rPr>
                <w:rFonts w:ascii="宋体" w:eastAsia="宋体" w:hAnsi="宋体" w:cs="宋体" w:hint="eastAsia"/>
                <w:b/>
                <w:bCs/>
                <w:kern w:val="0"/>
                <w:szCs w:val="21"/>
              </w:rPr>
              <w:t>接待地点</w:t>
            </w:r>
          </w:p>
        </w:tc>
        <w:tc>
          <w:tcPr>
            <w:tcW w:w="2542" w:type="dxa"/>
            <w:shd w:val="clear" w:color="auto" w:fill="auto"/>
            <w:noWrap/>
            <w:vAlign w:val="center"/>
          </w:tcPr>
          <w:p w:rsidR="001B4ADB" w:rsidRPr="00001AA6" w:rsidRDefault="001B4ADB" w:rsidP="00982387">
            <w:pPr>
              <w:widowControl/>
              <w:jc w:val="center"/>
              <w:rPr>
                <w:rFonts w:asciiTheme="minorEastAsia" w:hAnsiTheme="minorEastAsia" w:cs="宋体"/>
                <w:kern w:val="0"/>
                <w:sz w:val="18"/>
                <w:szCs w:val="18"/>
              </w:rPr>
            </w:pPr>
            <w:r w:rsidRPr="00F63248">
              <w:rPr>
                <w:rFonts w:ascii="宋体" w:eastAsia="宋体" w:hAnsi="宋体" w:cs="宋体" w:hint="eastAsia"/>
                <w:b/>
                <w:bCs/>
                <w:kern w:val="0"/>
                <w:szCs w:val="21"/>
              </w:rPr>
              <w:t>接待方式</w:t>
            </w:r>
          </w:p>
        </w:tc>
        <w:tc>
          <w:tcPr>
            <w:tcW w:w="3730" w:type="dxa"/>
            <w:shd w:val="clear" w:color="auto" w:fill="auto"/>
            <w:noWrap/>
            <w:vAlign w:val="center"/>
          </w:tcPr>
          <w:p w:rsidR="001B4ADB" w:rsidRPr="00001AA6" w:rsidRDefault="001B4ADB" w:rsidP="00982387">
            <w:pPr>
              <w:widowControl/>
              <w:jc w:val="center"/>
              <w:rPr>
                <w:rFonts w:asciiTheme="minorEastAsia" w:hAnsiTheme="minorEastAsia" w:cs="宋体"/>
                <w:kern w:val="0"/>
                <w:sz w:val="18"/>
                <w:szCs w:val="18"/>
              </w:rPr>
            </w:pPr>
            <w:r w:rsidRPr="00F63248">
              <w:rPr>
                <w:rFonts w:ascii="宋体" w:eastAsia="宋体" w:hAnsi="宋体" w:cs="宋体" w:hint="eastAsia"/>
                <w:b/>
                <w:bCs/>
                <w:kern w:val="0"/>
                <w:szCs w:val="21"/>
              </w:rPr>
              <w:t>接待对象</w:t>
            </w:r>
          </w:p>
        </w:tc>
        <w:tc>
          <w:tcPr>
            <w:tcW w:w="5706" w:type="dxa"/>
            <w:shd w:val="clear" w:color="auto" w:fill="auto"/>
            <w:vAlign w:val="center"/>
          </w:tcPr>
          <w:p w:rsidR="001B4ADB" w:rsidRPr="00001AA6" w:rsidRDefault="001B4ADB" w:rsidP="00A66718">
            <w:pPr>
              <w:widowControl/>
              <w:jc w:val="center"/>
              <w:rPr>
                <w:rFonts w:asciiTheme="minorEastAsia" w:hAnsiTheme="minorEastAsia" w:cs="宋体"/>
                <w:kern w:val="0"/>
                <w:sz w:val="18"/>
                <w:szCs w:val="18"/>
              </w:rPr>
            </w:pPr>
            <w:r w:rsidRPr="00F63248">
              <w:rPr>
                <w:rFonts w:ascii="宋体" w:eastAsia="宋体" w:hAnsi="宋体" w:cs="宋体" w:hint="eastAsia"/>
                <w:b/>
                <w:bCs/>
                <w:kern w:val="0"/>
                <w:szCs w:val="21"/>
              </w:rPr>
              <w:t>谈论的主要内容</w:t>
            </w:r>
          </w:p>
        </w:tc>
      </w:tr>
      <w:tr w:rsidR="00642D63" w:rsidRPr="00001AA6" w:rsidTr="005D646D">
        <w:trPr>
          <w:trHeight w:val="3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2018.06.01</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中银国际证券有限责任公司</w:t>
            </w:r>
            <w:r>
              <w:rPr>
                <w:rFonts w:ascii="Simsun" w:hAnsi="Simsun"/>
              </w:rPr>
              <w:t xml:space="preserve"> </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001AA6" w:rsidTr="005D646D">
        <w:trPr>
          <w:trHeight w:val="3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华泰证券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新能源核心三电的供应情况以及技术布局；新能源车型的中长期布局及规划；</w:t>
            </w:r>
            <w:r>
              <w:rPr>
                <w:rFonts w:hint="eastAsia"/>
              </w:rPr>
              <w:t>2019-2020</w:t>
            </w:r>
            <w:r>
              <w:rPr>
                <w:rFonts w:hint="eastAsia"/>
              </w:rPr>
              <w:t>年五大整车厂满足双积分要求的对策；对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001AA6" w:rsidTr="005D646D">
        <w:trPr>
          <w:trHeight w:val="62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国盛证券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新能源核心三电的供应情况以及技术布局；新能源车型的中长期布局及规划；</w:t>
            </w:r>
            <w:r>
              <w:rPr>
                <w:rFonts w:hint="eastAsia"/>
              </w:rPr>
              <w:t>2019-2020</w:t>
            </w:r>
            <w:r>
              <w:rPr>
                <w:rFonts w:hint="eastAsia"/>
              </w:rPr>
              <w:t>年五大整车厂满足双积分要求的对策；对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9B5C3A"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华夏基金</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新能源核心三电的供应情况以及技术布局；新能源车型的中长期布局及规划；</w:t>
            </w:r>
            <w:r>
              <w:rPr>
                <w:rFonts w:hint="eastAsia"/>
              </w:rPr>
              <w:t>2019-2020</w:t>
            </w:r>
            <w:r>
              <w:rPr>
                <w:rFonts w:hint="eastAsia"/>
              </w:rPr>
              <w:t>年五大整车厂满足双积分要求的对策；对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瑞穗证券亚洲有限公司</w:t>
            </w:r>
            <w:r>
              <w:rPr>
                <w:rFonts w:ascii="Simsun" w:hAnsi="Simsun"/>
              </w:rPr>
              <w:t xml:space="preserve"> </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目前各车企的终端销售价格变化情况及库存情况；对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倍嵘海鹰中国动态对冲基金</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w:t>
            </w:r>
            <w:r>
              <w:rPr>
                <w:rFonts w:hint="eastAsia"/>
              </w:rPr>
              <w:t>2018</w:t>
            </w:r>
            <w:r>
              <w:rPr>
                <w:rFonts w:hint="eastAsia"/>
              </w:rPr>
              <w:t>年各车企新车投放、产能扩充、销售网络布局及盈利趋势；</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2018.06.12</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 xml:space="preserve">JF </w:t>
            </w:r>
            <w:r>
              <w:rPr>
                <w:rFonts w:ascii="Simsun" w:hAnsi="Simsun"/>
              </w:rPr>
              <w:t>资产管理有限公司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w:t>
            </w:r>
            <w:r>
              <w:rPr>
                <w:rFonts w:hint="eastAsia"/>
              </w:rPr>
              <w:lastRenderedPageBreak/>
              <w:t>况预测等</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宋体" w:eastAsia="宋体" w:hAnsi="宋体" w:cs="宋体"/>
                <w:sz w:val="24"/>
                <w:szCs w:val="24"/>
              </w:rPr>
            </w:pPr>
            <w:r>
              <w:rPr>
                <w:rFonts w:hint="eastAsia"/>
              </w:rPr>
              <w:t> </w:t>
            </w:r>
            <w:r>
              <w:rPr>
                <w:rFonts w:hint="eastAsia"/>
              </w:rPr>
              <w:t>上海世诚投资管理有限公司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 </w:t>
            </w:r>
            <w:r>
              <w:rPr>
                <w:rFonts w:ascii="Simsun" w:hAnsi="Simsun"/>
              </w:rPr>
              <w:t>上海重阳投资管理股份有限公司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40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新华资产管理股份有限公司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4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华商基金管理有限公司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4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宋体" w:eastAsia="宋体" w:hAnsi="宋体" w:cs="宋体"/>
                <w:sz w:val="24"/>
                <w:szCs w:val="24"/>
              </w:rPr>
            </w:pPr>
            <w:r>
              <w:rPr>
                <w:rFonts w:hint="eastAsia"/>
              </w:rPr>
              <w:t> </w:t>
            </w:r>
            <w:r>
              <w:rPr>
                <w:rFonts w:hint="eastAsia"/>
              </w:rPr>
              <w:t>中欧基金管理有限公司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4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嘉实基金</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1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 xml:space="preserve">Green Court Capital Management </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14"/>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宋体" w:eastAsia="宋体" w:hAnsi="宋体" w:cs="宋体"/>
                <w:sz w:val="24"/>
                <w:szCs w:val="24"/>
              </w:rPr>
            </w:pPr>
            <w:r>
              <w:rPr>
                <w:rFonts w:hint="eastAsia"/>
              </w:rPr>
              <w:t>兴全基金管理有限公司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宋体" w:eastAsia="宋体" w:hAnsi="宋体" w:cs="宋体"/>
                <w:sz w:val="24"/>
                <w:szCs w:val="24"/>
              </w:rPr>
            </w:pPr>
            <w:r>
              <w:rPr>
                <w:rFonts w:hint="eastAsia"/>
              </w:rPr>
              <w:t> </w:t>
            </w:r>
            <w:r>
              <w:rPr>
                <w:rFonts w:hint="eastAsia"/>
              </w:rPr>
              <w:t>海富通基金管理有限公司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w:t>
            </w:r>
            <w:r>
              <w:rPr>
                <w:rFonts w:hint="eastAsia"/>
              </w:rPr>
              <w:lastRenderedPageBreak/>
              <w:t>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947308"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宋体" w:eastAsia="宋体" w:hAnsi="宋体" w:cs="宋体"/>
                <w:sz w:val="24"/>
                <w:szCs w:val="24"/>
              </w:rPr>
            </w:pPr>
            <w:r>
              <w:rPr>
                <w:rFonts w:hint="eastAsia"/>
              </w:rPr>
              <w:t>鑫巢资本</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涌金资产管理有限公司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华夏基金</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鲍尔太平有限公司</w:t>
            </w:r>
            <w:r>
              <w:rPr>
                <w:rFonts w:ascii="Simsun" w:hAnsi="Simsun"/>
              </w:rPr>
              <w:t xml:space="preserve"> </w:t>
            </w:r>
            <w:r>
              <w:rPr>
                <w:rFonts w:ascii="Simsun" w:hAnsi="Simsun"/>
              </w:rPr>
              <w:t>上海代表处</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w:t>
            </w:r>
            <w:r>
              <w:rPr>
                <w:rFonts w:hint="eastAsia"/>
              </w:rPr>
              <w:lastRenderedPageBreak/>
              <w:t>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旭松资产管理有限公司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瑞银资产管理（上海）有限公司</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hideMark/>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noWrap/>
            <w:vAlign w:val="center"/>
            <w:hideMark/>
          </w:tcPr>
          <w:p w:rsidR="00642D63" w:rsidRDefault="00642D63">
            <w:pPr>
              <w:jc w:val="center"/>
              <w:rPr>
                <w:rFonts w:ascii="Simsun" w:eastAsia="宋体" w:hAnsi="Simsun" w:cs="宋体"/>
                <w:sz w:val="24"/>
                <w:szCs w:val="24"/>
              </w:rPr>
            </w:pPr>
            <w:r>
              <w:rPr>
                <w:rFonts w:ascii="Simsun" w:hAnsi="Simsun"/>
              </w:rPr>
              <w:t>UG INVESTMENT ADVISERS LLIMITED</w:t>
            </w:r>
          </w:p>
        </w:tc>
        <w:tc>
          <w:tcPr>
            <w:tcW w:w="5706" w:type="dxa"/>
            <w:shd w:val="clear" w:color="auto" w:fill="auto"/>
            <w:vAlign w:val="center"/>
            <w:hideMark/>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汇添富基金管理股份有限公司</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Pr>
                <w:rFonts w:hint="eastAsia"/>
              </w:rPr>
              <w:t>东方证券资产管理有限公司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明道资产管理有限公司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上海知著投资咨询有限公司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珠海汇尚创业投资有限公司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老虎基金</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w:t>
            </w:r>
            <w:r>
              <w:rPr>
                <w:rFonts w:hint="eastAsia"/>
              </w:rPr>
              <w:lastRenderedPageBreak/>
              <w:t>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上海保银投资管理有限公司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方圆基金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千合资本管理有限公司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元昊投资管理有限公司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w:t>
            </w:r>
            <w:r>
              <w:rPr>
                <w:rFonts w:hint="eastAsia"/>
              </w:rPr>
              <w:lastRenderedPageBreak/>
              <w:t>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2018.06.20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JF </w:t>
            </w:r>
            <w:r>
              <w:rPr>
                <w:rFonts w:ascii="Simsun" w:hAnsi="Simsun"/>
              </w:rPr>
              <w:t>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平安创赢资本管理有限公司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平安资产管理有限责任公司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Pr>
                <w:rFonts w:hint="eastAsia"/>
              </w:rPr>
              <w:t>惠理集团</w:t>
            </w:r>
            <w:r>
              <w:rPr>
                <w:rFonts w:hint="eastAsia"/>
              </w:rPr>
              <w:t xml:space="preserve"> </w:t>
            </w:r>
            <w:r>
              <w:rPr>
                <w:rFonts w:hint="eastAsia"/>
              </w:rPr>
              <w:t>惠理海外投资基金管理（上海）有限公司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2018.06.21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富国基金管理有限公司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国投瑞银基金管理有限公司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进口车关税下调以及股比放开政策调整后对行业及公司的影响；新能源车型的中长期布局及规划；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2018.06.25</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Everpoint Asset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w:t>
            </w:r>
            <w:r>
              <w:rPr>
                <w:rFonts w:hint="eastAsia"/>
              </w:rPr>
              <w:t>GS4</w:t>
            </w:r>
            <w:r>
              <w:rPr>
                <w:rFonts w:hint="eastAsia"/>
              </w:rPr>
              <w:t>中改的预期及销售策略；对</w:t>
            </w:r>
            <w:r>
              <w:rPr>
                <w:rFonts w:hint="eastAsia"/>
              </w:rPr>
              <w:t>2018</w:t>
            </w:r>
            <w:r>
              <w:rPr>
                <w:rFonts w:hint="eastAsia"/>
              </w:rPr>
              <w:t>年二季度销售及盈利的预期，以及下半年展望等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天风证券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博时基金管理有限公司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2018.06.26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新百信基金管理有限公司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2018.06.26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广东矩洲投资有限责任公司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新能源车型的中长期布局及规划；</w:t>
            </w:r>
            <w:r>
              <w:rPr>
                <w:rFonts w:hint="eastAsia"/>
              </w:rPr>
              <w:t>2019-2020</w:t>
            </w:r>
            <w:r>
              <w:rPr>
                <w:rFonts w:hint="eastAsia"/>
              </w:rPr>
              <w:t>年五大整车厂满足双积分要求的对策；五大整车厂近期的销售情况、库存情况以及主力车型终端折让情况；对</w:t>
            </w:r>
            <w:r>
              <w:rPr>
                <w:rFonts w:hint="eastAsia"/>
              </w:rPr>
              <w:t>GS4</w:t>
            </w:r>
            <w:r>
              <w:rPr>
                <w:rFonts w:hint="eastAsia"/>
              </w:rPr>
              <w:t>中改的预期及销售策略；对</w:t>
            </w:r>
            <w:r>
              <w:rPr>
                <w:rFonts w:hint="eastAsia"/>
              </w:rPr>
              <w:t>2018</w:t>
            </w:r>
            <w:r>
              <w:rPr>
                <w:rFonts w:hint="eastAsia"/>
              </w:rPr>
              <w:t>年二季度销售及盈利的预期，以及下半年对行业增长的判断以及公司情况预测等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深圳</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泰康资产管理有限责任公司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深圳</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高毅资产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深圳</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招商证券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年第二季度行业及公司的销售情况，包括各细分市场的情况，五大整车企业的上半年的销售完成率以及下半年是否会调整产销目标，库存情况以及主力车型终端折让情况等</w:t>
            </w:r>
          </w:p>
        </w:tc>
      </w:tr>
      <w:tr w:rsidR="00642D63" w:rsidRPr="00001AA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深圳</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前海开源基金管理有限公司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深圳</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中银汽车</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中国人寿资产管理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长盛基金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安邦资产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前海开源</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阳光保险集团</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中国人寿资产管理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泰达宏利基金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w:t>
            </w:r>
            <w:r>
              <w:rPr>
                <w:rFonts w:hint="eastAsia"/>
              </w:rPr>
              <w:lastRenderedPageBreak/>
              <w:t>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富国基金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华夏基金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华商基金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合众资产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善渊投资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远策投资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通用技术</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嘉实基金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人寿养老年金管理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泓澄投资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韩国投资基金管理公司上海代表处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北京</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投资者峰会（一对多）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中国人寿资产管理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年第二季度行业及公司的销售情况，包括各细分市场的情况，以及对下半年的预测；五大整车企业的上半年的销售完成率以及下半年是否会调整产销目标，库存情况以及主力车型终端折让情况；</w:t>
            </w:r>
            <w:r>
              <w:rPr>
                <w:rFonts w:hint="eastAsia"/>
              </w:rPr>
              <w:t>GS4</w:t>
            </w:r>
            <w:r>
              <w:rPr>
                <w:rFonts w:hint="eastAsia"/>
              </w:rPr>
              <w:t>中改上市后的订单情况以及旧款库存的清理情况等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国泰君安证券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Pr>
                <w:rFonts w:hint="eastAsia"/>
              </w:rPr>
              <w:t>中欧基金管理有限公司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华夏基金管理有限公司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富国基金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阳光资产管理股份有限公司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华泰证券自营</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复星集团</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德邦证券自营</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长金投资管理有限公司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润辉投资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易同投资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上投摩根基金管理有限公司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泓铭资本</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w:t>
            </w:r>
            <w:r>
              <w:rPr>
                <w:rFonts w:ascii="Simsun" w:hAnsi="Simsun"/>
              </w:rPr>
              <w:t>新思哲投资管理有限公司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乾明资产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2018.07.12</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瀚信资本</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中改上市后的订单情况以及旧款库存的清理情况，经销商的盈利状况；公司对新能源业务的规划和布局，以及研发投入；自主品牌的轿车战略；公司治理情况，包括高管薪酬市场化及第二期股权激励等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宋体" w:eastAsia="宋体" w:hAnsi="宋体" w:cs="宋体"/>
                <w:sz w:val="24"/>
                <w:szCs w:val="24"/>
              </w:rPr>
            </w:pPr>
            <w:r>
              <w:rPr>
                <w:rFonts w:hint="eastAsia"/>
              </w:rPr>
              <w:t>电话咨询</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建银国际证券有限公司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GS4</w:t>
            </w:r>
            <w:r>
              <w:rPr>
                <w:rFonts w:hint="eastAsia"/>
              </w:rPr>
              <w:t>中改上市后的订单情况以及旧款库存的清理情况，五大整车企业的上半年的销售完成率以及下半年是否会调整产销目标，库存情况以及主力车型终端折让情况等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广东谢诺辰阳私募证券投资管理有限公司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发展研究中心</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w:t>
            </w:r>
            <w:r>
              <w:rPr>
                <w:rFonts w:hint="eastAsia"/>
              </w:rPr>
              <w:lastRenderedPageBreak/>
              <w:t>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兴业证券股份有限公司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广州广证恒生证券研究所有限公司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广东阿米巴基金管理有限公司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上海利檀投资管理有限公司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2018.07.16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易方达资产管理（香港）有限公司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w:t>
            </w:r>
            <w:r>
              <w:rPr>
                <w:rFonts w:hint="eastAsia"/>
              </w:rPr>
              <w:lastRenderedPageBreak/>
              <w:t>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2018.07.17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PRUSIK INVESTMENT MANAGEMENT LLP</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长江证券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国信汽车</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w:t>
            </w:r>
            <w:r>
              <w:rPr>
                <w:rFonts w:hint="eastAsia"/>
              </w:rPr>
              <w:t>2019-2020</w:t>
            </w:r>
            <w:r>
              <w:rPr>
                <w:rFonts w:hint="eastAsia"/>
              </w:rPr>
              <w:t>年五大整车厂满足双积分要求的对策；五大整车厂近期的销售情况、库存情况以及主力车型终端折让情况等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2018.07.27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w:t>
            </w:r>
            <w:r>
              <w:rPr>
                <w:rFonts w:ascii="Simsun" w:hAnsi="Simsun"/>
              </w:rPr>
              <w:t>新华资产管理股份有限公司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二季度给</w:t>
            </w:r>
            <w:r>
              <w:rPr>
                <w:rFonts w:hint="eastAsia"/>
              </w:rPr>
              <w:t>GS4</w:t>
            </w:r>
            <w:r>
              <w:rPr>
                <w:rFonts w:hint="eastAsia"/>
              </w:rPr>
              <w:t>老款的补贴情况以及对二、三季度费用方面的影响，</w:t>
            </w:r>
            <w:r>
              <w:rPr>
                <w:rFonts w:hint="eastAsia"/>
              </w:rPr>
              <w:t>GS4</w:t>
            </w:r>
            <w:r>
              <w:rPr>
                <w:rFonts w:hint="eastAsia"/>
              </w:rPr>
              <w:t>中改上市后的订单情况以及旧款库存的清理情况；</w:t>
            </w:r>
            <w:r>
              <w:rPr>
                <w:rFonts w:hint="eastAsia"/>
              </w:rPr>
              <w:t>2019</w:t>
            </w:r>
            <w:r>
              <w:rPr>
                <w:rFonts w:hint="eastAsia"/>
              </w:rPr>
              <w:t>年公司新能源车型规划；自主品牌传祺新车型</w:t>
            </w:r>
            <w:r>
              <w:rPr>
                <w:rFonts w:hint="eastAsia"/>
              </w:rPr>
              <w:t>GM6</w:t>
            </w:r>
            <w:r>
              <w:rPr>
                <w:rFonts w:hint="eastAsia"/>
              </w:rPr>
              <w:t>和</w:t>
            </w:r>
            <w:r>
              <w:rPr>
                <w:rFonts w:hint="eastAsia"/>
              </w:rPr>
              <w:t>GS5</w:t>
            </w:r>
            <w:r>
              <w:rPr>
                <w:rFonts w:hint="eastAsia"/>
              </w:rPr>
              <w:t>的上市时间、定位以及公司预期等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上海知著投资咨询有限公司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德盛安联</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792596"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晨曦投资管理有限公司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980DC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APG Asset Management Asia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980DC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中国守正基金管理（香港）有限公司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980DC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中投国际（香港）有限公司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980DC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易方达资产管理（香港）有限公司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980DC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Eastspring Investments (Hong Kong)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Folger Hill Asset Management (P), USA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Fountainhead Partners Company Limited (P), HK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Gavekal Capital Ltd (P), HK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高瓴资本</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InvenTIO Capital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宏利资产管理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Nezu Asia Capital Mgmt Ltd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中庸资本有限公司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RBC Investment Mgmt Asia Ltd (P), HK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泰康资产管理有限责任公司</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创壘资本有限公司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UBS O' Connor Limited (P), USA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UBS Wealth Management (P), Switzerland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xml:space="preserve">Value Partners Ltd. (P), Hong Kong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Wei Capital Management 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YIHENG CAPITAL</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汇丰环球投资管理</w:t>
            </w:r>
            <w:r>
              <w:rPr>
                <w:rFonts w:ascii="Simsun" w:hAnsi="Simsun"/>
              </w:rPr>
              <w:t>(</w:t>
            </w:r>
            <w:r>
              <w:rPr>
                <w:rFonts w:ascii="Simsun" w:hAnsi="Simsun"/>
              </w:rPr>
              <w:t>香港</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Pr>
                <w:rFonts w:hint="eastAsia"/>
              </w:rPr>
              <w:t>碧雲資本管理有限公司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JF </w:t>
            </w:r>
            <w:r>
              <w:rPr>
                <w:rFonts w:ascii="Simsun" w:hAnsi="Simsun"/>
              </w:rPr>
              <w:t>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丰田在华布局的变化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中投国际（香港）有限公司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贝莱德</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BlackRock Asset Management North Asia 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BlackRock Inv Mgmt LLC (NJ)</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w:t>
            </w:r>
            <w:r>
              <w:rPr>
                <w:rFonts w:hint="eastAsia"/>
              </w:rPr>
              <w:lastRenderedPageBreak/>
              <w:t>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Point 72 Asia (Hong Kong)Limited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AR Capital Pte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Amundi AM Asia</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东亚联丰投资管理有限公司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中投国际（香港）有限公司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Deutsche Asset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Everpoint Asset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GLG Partners</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5D646D">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Pr>
                <w:rFonts w:hint="eastAsia"/>
              </w:rPr>
              <w:t>碧雲資本管理有限公</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HSBC Global Asset Management USA</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Hao Advisors Management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嘉实国际资产管理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IG International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Julius Baer Bank</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RPr="0039421E"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麦格理基金管理香港有限公司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MapleBrown Abbott 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路博迈亚洲有限公司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color w:val="000000"/>
                <w:sz w:val="24"/>
                <w:szCs w:val="24"/>
              </w:rPr>
            </w:pPr>
            <w:r>
              <w:rPr>
                <w:rFonts w:hint="eastAsia"/>
                <w:color w:val="000000"/>
              </w:rPr>
              <w:t>New China Asset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Orbis Investment Mgmt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Pictet &amp; Cie PB Geneva</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柏瑞投资亚洲有限公司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上海保银投资管理有限公司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湧金资产管理有限公司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RHB Bank Berhad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Samsung Investment Trust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Senrigan Capital Group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Sumitomo Mitsui Asset Management Company 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T Rowe Price</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Torq Capital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Tree Line Asia Master Fund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禾其投资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惠理基金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Wellington Management Internationa</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Xing Tai Capital Mgmt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富达基金</w:t>
            </w:r>
            <w:r>
              <w:rPr>
                <w:rFonts w:ascii="Simsun" w:hAnsi="Simsun"/>
              </w:rPr>
              <w:t>(</w:t>
            </w:r>
            <w:r>
              <w:rPr>
                <w:rFonts w:ascii="Simsun" w:hAnsi="Simsun"/>
              </w:rPr>
              <w:t>香港</w:t>
            </w:r>
            <w:r>
              <w:rPr>
                <w:rFonts w:ascii="Simsun" w:hAnsi="Simsun"/>
              </w:rPr>
              <w:t>)</w:t>
            </w:r>
            <w:r>
              <w:rPr>
                <w:rFonts w:ascii="Simsun" w:hAnsi="Simsun"/>
              </w:rPr>
              <w:t>有限公司</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弘盛资本</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BOCHK ASSET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Central Asset Investments</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Changjiang Asset Mgmt (HK)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Chaos Intl Financial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中再资产管理股份有限公司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 China Southern Asset Mgmt Co Ltd - Shenzhen</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Fair Investment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w:t>
            </w:r>
            <w:r>
              <w:rPr>
                <w:rFonts w:ascii="Simsun" w:hAnsi="Simsun"/>
              </w:rPr>
              <w:t>金涌资本管理有限公司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Harvest Fund Mgmt Co Ltd - Brokers &amp; Asset Mgrs</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ICBC Asset Mgmt (Global) Co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 LST Capital Partners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Marshall Wace Asia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 Millennium Partners LP</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鸿森资产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HOBA GLOBAL INVESTORS(HK)LTD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Righteous Capital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Safe Inv Co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Springboard Capital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Zaaba Capital Limited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香港</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FMR - FIDELITY MANAGEMENT &amp; RESEARCH</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2018.08.29</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兴全基金管理有限公司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GS4</w:t>
            </w:r>
            <w:r>
              <w:rPr>
                <w:rFonts w:hint="eastAsia"/>
              </w:rPr>
              <w:t>中改上市后的订单情况以及旧款库存的清理情况，经销商的盈利状况；自主品牌后续车型规划以及新车型亮点，对轿车车型的布局；广菲克公司销售变差的原因以及如何改善；股东机构情况以及是否对转债有动力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2018.08.29</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华泰柏瑞基金管理有限公司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年第二季度行业及公司的销售情况，以及对下半年整体市场情况及公司情况的预测；</w:t>
            </w:r>
            <w:r>
              <w:rPr>
                <w:rFonts w:hint="eastAsia"/>
              </w:rPr>
              <w:t>GS4</w:t>
            </w:r>
            <w:r>
              <w:rPr>
                <w:rFonts w:hint="eastAsia"/>
              </w:rPr>
              <w:t>中改上市后的订单情况以及旧款库存的清理情况，经销商的盈利状况；自主品牌后续车型规划以及新车型亮点，对轿车车型的布局；公司对新能源业务的规划和布局等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2018.08.29</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东方证券资产管理有限公司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自主品牌在电动智能方面的推进计划；未来的研发投入计划；轿车车型的布局计划、新能源业务的规划和布局以及后续有哪些重磅新车型推出；对下半年整体市场情况及公司情况的预测；股比放开政策调整后对行业及公司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2018.08.29</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东方红资产管理</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自主品牌在电动智能方面的推进计划；未来的研发投入计划；轿车车型的布局计划、新能源业务的规划和布局以及后续有</w:t>
            </w:r>
            <w:r>
              <w:rPr>
                <w:rFonts w:hint="eastAsia"/>
              </w:rPr>
              <w:lastRenderedPageBreak/>
              <w:t>哪些重磅新车型推出；对下半年整体市场情况及公司情况的预测；股比放开政策调整后对行业及公司的影响等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汇丰晋信基金管理有限公司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海富通基金管理有限公司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涌金资产管理有限公司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施罗德基金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帆投资产</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广东惠正投资管理有限公司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观富</w:t>
            </w:r>
            <w:r>
              <w:rPr>
                <w:rFonts w:hint="eastAsia"/>
              </w:rPr>
              <w:t>(</w:t>
            </w:r>
            <w:r>
              <w:rPr>
                <w:rFonts w:hint="eastAsia"/>
              </w:rPr>
              <w:t>北京</w:t>
            </w:r>
            <w:r>
              <w:rPr>
                <w:rFonts w:hint="eastAsia"/>
              </w:rPr>
              <w:t>)</w:t>
            </w:r>
            <w:r>
              <w:rPr>
                <w:rFonts w:hint="eastAsia"/>
              </w:rPr>
              <w:t>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巨杉（上海）资产管理有限公司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万家基金管理有限公司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上投摩根基金管理有限公司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红杉资本</w:t>
            </w:r>
            <w:r>
              <w:rPr>
                <w:rFonts w:hint="eastAsia"/>
              </w:rPr>
              <w:t>(</w:t>
            </w:r>
            <w:r>
              <w:rPr>
                <w:rFonts w:hint="eastAsia"/>
              </w:rPr>
              <w:t>中国</w:t>
            </w:r>
            <w:r>
              <w:rPr>
                <w:rFonts w:hint="eastAsia"/>
              </w:rPr>
              <w:t>)</w:t>
            </w:r>
            <w:r>
              <w:rPr>
                <w:rFonts w:hint="eastAsia"/>
              </w:rPr>
              <w:t>关联企业</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w:t>
            </w:r>
            <w:r>
              <w:rPr>
                <w:rFonts w:hint="eastAsia"/>
              </w:rPr>
              <w:lastRenderedPageBreak/>
              <w:t>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上海厚山投资管理有限公司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平安资产管理有限责任公司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星厚資本管理有限公司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2018.08.30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上海</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路演（一对多）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嘉实基金管理有限公司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w:t>
            </w:r>
            <w:r>
              <w:rPr>
                <w:rFonts w:hint="eastAsia"/>
              </w:rPr>
              <w:lastRenderedPageBreak/>
              <w:t>上半年的销售完成率以及下半年是否会调整产销目标，新车投放计划以及目前的库存情况；进口车关税下调以及股比放开政策调整后对行业及公司的影响，国六标准提前实施的压力及对财务的影响等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2018.09.03</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中信建投国际</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w:t>
            </w:r>
            <w:r>
              <w:rPr>
                <w:rFonts w:hint="eastAsia"/>
              </w:rPr>
              <w:t>GS4</w:t>
            </w:r>
            <w:r>
              <w:rPr>
                <w:rFonts w:hint="eastAsia"/>
              </w:rPr>
              <w:t>中改上市后的订单情况以及旧款库存的清理情况，经销商的盈利状况；新能源车型的中长期布局及规划；五大整车厂库存情况以及主力车型终端折让情况等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2018.09.03</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国泰君安证券股份有限公司</w:t>
            </w:r>
            <w:r>
              <w:rPr>
                <w:rFonts w:ascii="Simsun" w:hAnsi="Simsun"/>
              </w:rPr>
              <w:t>-</w:t>
            </w:r>
            <w:r>
              <w:rPr>
                <w:rFonts w:ascii="Simsun" w:hAnsi="Simsun"/>
              </w:rPr>
              <w:t>广东分公司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对下半年整体市场情况及公司情况的预测；五大整车企业上半年的销售完成率以及下半年是否会调整产销目标，新车投放计划以及目前的库存情况；进口车关税下调以及股比放开政策调整后对行业及公司的影响等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2018.09.03</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中银国际证券有限责任公司</w:t>
            </w:r>
            <w:r>
              <w:rPr>
                <w:rFonts w:ascii="Simsun" w:hAnsi="Simsun"/>
              </w:rPr>
              <w:t xml:space="preserve">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前海开源基金管理有限公司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宝盈基金</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威灵顿管理香港有限公司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对未来中国汽车市场增速及车企利润率趋势的判断；进口车关税下调以及股比放开政策调整后对行业及公司的影响；以及下半年政府是否会出台相关对汽车行业利好的政策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2018.09.04</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大和资本香港有限公司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对未来中国汽车市场增速及车企利润率趋势的判断；进口车关税下调以及股比放开政策调整后对行业及公司的影响；以及下半年政府是否会出台相关对汽车行业利好的政策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上海申银万国证券研究所有限公司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广发基金管理有限公司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w:t>
            </w:r>
            <w:r>
              <w:rPr>
                <w:rFonts w:hint="eastAsia"/>
              </w:rPr>
              <w:lastRenderedPageBreak/>
              <w:t>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2018.09.06</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中泰证券股份有限公司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2018.09.07</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APG Asset Management Asia </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进口车关税下调以及股比放开政策调整后对行业及公司的影响；以及下半年政府是否会出台相关对汽车行业利好的政策；五大整车企业上半年的销售完成率以及下半年是否会调整产销目标，新车投放计划以及目前的库存情况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2018.09.13</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Dodge &amp; Cox</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进口车关税下调以及股比放开政策调整后对行业及公司的影响；以及下半年政府是否会出台相关对汽车行业利好的政策；五大整车企业上半年的销售完成率以及下半年是否会调整产销目标，新车投放计划以及目前的库存情况等</w:t>
            </w:r>
          </w:p>
        </w:tc>
      </w:tr>
      <w:tr w:rsidR="00642D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2018.09.18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西南证券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w:t>
            </w:r>
            <w:r>
              <w:rPr>
                <w:rFonts w:hint="eastAsia"/>
              </w:rPr>
              <w:lastRenderedPageBreak/>
              <w:t>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RPr="006848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2018.09.18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瑞士信贷（香港）有限公司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RPr="006848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2018.09.18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上海景沧投资咨询有限公司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RPr="00684863" w:rsidTr="0015397A">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2018.09.18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Hao Advisors Management Ltd</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2018.09.18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公司实地调研（一对多）</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SAIF Partners</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集团</w:t>
            </w:r>
            <w:r>
              <w:rPr>
                <w:rFonts w:hint="eastAsia"/>
              </w:rPr>
              <w:t>2018</w:t>
            </w:r>
            <w:r>
              <w:rPr>
                <w:rFonts w:hint="eastAsia"/>
              </w:rPr>
              <w:t>年上半年及第二季度利润构成及同比变化的主要原因，包括毛利率、三费、净利率等变化情况，特别是自主品牌的盈利情况，对下半年盈利趋势的判断；</w:t>
            </w: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国六标准提前实施的压力及对财务的影响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Baillie Gifford &amp; Co</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对未来中国汽车市场增速及车企利润率趋势的判断；进口车关税下调以及股比放开政策调整后对行业及公司的影响；以及下半年政府是否会出台相关对汽车行业利好的政策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2018.09.20</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Asia Growth Capital Management</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2018</w:t>
            </w:r>
            <w:r>
              <w:rPr>
                <w:rFonts w:hint="eastAsia"/>
              </w:rPr>
              <w:t>年上半年行业及公司的销售情况，包括各细分市场的情况，对下半年整体市场情况及公司情况的预测；对未来中国汽车市场增速及车企利润率趋势的判断；进口车关税下调以及股比放开政策调整后对行业及公司的影响；以及下半年政府是否会出台相关对汽车行业利好的政策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公司实地调研（一对一）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睿璞投资</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GS4</w:t>
            </w:r>
            <w:r>
              <w:rPr>
                <w:rFonts w:hint="eastAsia"/>
              </w:rPr>
              <w:t>中改上市后的订单情况以及旧款库存的清理情况，经销商的盈利状况；五大整车企业上半年的销售完成率以及下半年是否会调整产销目标，新车投放计划以及目前的库存情况；对新能源产能及产品的规划；日系车企在华策略的变化及布局；国六标准提前实施的压力及对财务的影响，以及下半年政府是否会出台相关对汽车行业利好的政策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2018.09.21</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Simsun" w:eastAsia="宋体" w:hAnsi="Simsun" w:cs="宋体"/>
                <w:sz w:val="24"/>
                <w:szCs w:val="24"/>
              </w:rPr>
            </w:pPr>
            <w:r>
              <w:rPr>
                <w:rFonts w:ascii="Simsun" w:hAnsi="Simsun"/>
              </w:rPr>
              <w:t xml:space="preserve">JF Asset Management </w:t>
            </w:r>
            <w:r>
              <w:rPr>
                <w:rFonts w:ascii="Simsun" w:hAnsi="Simsun"/>
              </w:rPr>
              <w:br/>
              <w:t xml:space="preserve">JF </w:t>
            </w:r>
            <w:r>
              <w:rPr>
                <w:rFonts w:ascii="Simsun" w:hAnsi="Simsun"/>
              </w:rPr>
              <w:t>资产管理有限公司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GS4</w:t>
            </w:r>
            <w:r>
              <w:rPr>
                <w:rFonts w:hint="eastAsia"/>
              </w:rPr>
              <w:t>中改上市后的订单情况以及旧款库存的清理情况；各车企目前的库存情况以及主力车型终端折让情况，三季度商务政策较二季度的变化情况；日系车企在华策略的变化及布局；</w:t>
            </w:r>
            <w:r>
              <w:rPr>
                <w:rFonts w:hint="eastAsia"/>
              </w:rPr>
              <w:lastRenderedPageBreak/>
              <w:t>国六标准提前实施的压力及对财务的影响，以及下半年政府是否会出台相关对汽车行业利好的政策等</w:t>
            </w:r>
          </w:p>
        </w:tc>
      </w:tr>
      <w:tr w:rsidR="00642D63" w:rsidRPr="00684863" w:rsidTr="002C25A7">
        <w:trPr>
          <w:trHeight w:val="689"/>
        </w:trPr>
        <w:tc>
          <w:tcPr>
            <w:tcW w:w="1444"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lastRenderedPageBreak/>
              <w:t>2018.09.28</w:t>
            </w:r>
          </w:p>
        </w:tc>
        <w:tc>
          <w:tcPr>
            <w:tcW w:w="1287" w:type="dxa"/>
            <w:shd w:val="clear" w:color="auto" w:fill="auto"/>
            <w:vAlign w:val="center"/>
          </w:tcPr>
          <w:p w:rsidR="00642D63" w:rsidRDefault="00642D63">
            <w:pPr>
              <w:jc w:val="center"/>
              <w:rPr>
                <w:rFonts w:ascii="宋体" w:eastAsia="宋体" w:hAnsi="宋体" w:cs="宋体"/>
                <w:sz w:val="24"/>
                <w:szCs w:val="24"/>
              </w:rPr>
            </w:pPr>
            <w:r>
              <w:rPr>
                <w:rFonts w:hint="eastAsia"/>
              </w:rPr>
              <w:t>公司</w:t>
            </w:r>
          </w:p>
        </w:tc>
        <w:tc>
          <w:tcPr>
            <w:tcW w:w="2542" w:type="dxa"/>
            <w:shd w:val="clear" w:color="auto" w:fill="auto"/>
            <w:noWrap/>
            <w:vAlign w:val="center"/>
          </w:tcPr>
          <w:p w:rsidR="00642D63" w:rsidRDefault="00642D63">
            <w:pPr>
              <w:jc w:val="center"/>
              <w:rPr>
                <w:rFonts w:ascii="Simsun" w:eastAsia="宋体" w:hAnsi="Simsun" w:cs="宋体"/>
                <w:sz w:val="24"/>
                <w:szCs w:val="24"/>
              </w:rPr>
            </w:pPr>
            <w:r>
              <w:rPr>
                <w:rFonts w:ascii="Simsun" w:hAnsi="Simsun"/>
              </w:rPr>
              <w:t>电话会议（一对一）</w:t>
            </w:r>
          </w:p>
        </w:tc>
        <w:tc>
          <w:tcPr>
            <w:tcW w:w="3730" w:type="dxa"/>
            <w:shd w:val="clear" w:color="auto" w:fill="auto"/>
            <w:vAlign w:val="center"/>
          </w:tcPr>
          <w:p w:rsidR="00642D63" w:rsidRDefault="00642D63">
            <w:pPr>
              <w:jc w:val="center"/>
              <w:rPr>
                <w:rFonts w:ascii="宋体" w:eastAsia="宋体" w:hAnsi="宋体" w:cs="宋体"/>
                <w:sz w:val="24"/>
                <w:szCs w:val="24"/>
              </w:rPr>
            </w:pPr>
            <w:r>
              <w:rPr>
                <w:rFonts w:hint="eastAsia"/>
              </w:rPr>
              <w:t> </w:t>
            </w:r>
            <w:r w:rsidR="005C28D3">
              <w:rPr>
                <w:rFonts w:hint="eastAsia"/>
              </w:rPr>
              <w:t>霸菱资产管理</w:t>
            </w:r>
            <w:r w:rsidR="005C28D3">
              <w:t>(</w:t>
            </w:r>
            <w:r w:rsidR="005C28D3">
              <w:rPr>
                <w:rFonts w:hint="eastAsia"/>
              </w:rPr>
              <w:t>亚洲</w:t>
            </w:r>
            <w:r w:rsidR="005C28D3">
              <w:t>)</w:t>
            </w:r>
            <w:bookmarkStart w:id="0" w:name="_GoBack"/>
            <w:bookmarkEnd w:id="0"/>
            <w:r w:rsidR="005C28D3">
              <w:rPr>
                <w:rFonts w:hint="eastAsia"/>
              </w:rPr>
              <w:t>有限公司</w:t>
            </w:r>
          </w:p>
        </w:tc>
        <w:tc>
          <w:tcPr>
            <w:tcW w:w="5706" w:type="dxa"/>
            <w:shd w:val="clear" w:color="auto" w:fill="auto"/>
            <w:vAlign w:val="center"/>
          </w:tcPr>
          <w:p w:rsidR="00642D63" w:rsidRDefault="00642D63">
            <w:pPr>
              <w:rPr>
                <w:rFonts w:ascii="宋体" w:eastAsia="宋体" w:hAnsi="宋体" w:cs="宋体"/>
                <w:sz w:val="24"/>
                <w:szCs w:val="24"/>
              </w:rPr>
            </w:pPr>
            <w:r>
              <w:rPr>
                <w:rFonts w:hint="eastAsia"/>
              </w:rPr>
              <w:t>GS4</w:t>
            </w:r>
            <w:r>
              <w:rPr>
                <w:rFonts w:hint="eastAsia"/>
              </w:rPr>
              <w:t>中改上市后的订单情况以及旧款库存的清理情况；各车企目前的库存情况以及主力车型终端折让情况，三季度商务政策较二季度的变化情况，第四季度及明年推出的新车型；国六标准提前实施的压力及对财务的影响，以及下半年政府是否会出台相关对汽车行业利好的政策等</w:t>
            </w:r>
          </w:p>
        </w:tc>
      </w:tr>
    </w:tbl>
    <w:p w:rsidR="001B4ADB" w:rsidRPr="005D467B" w:rsidRDefault="001B4ADB" w:rsidP="005D467B"/>
    <w:sectPr w:rsidR="001B4ADB" w:rsidRPr="005D467B" w:rsidSect="00001AA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E1" w:rsidRDefault="00C17CE1" w:rsidP="00001AA6">
      <w:r>
        <w:separator/>
      </w:r>
    </w:p>
  </w:endnote>
  <w:endnote w:type="continuationSeparator" w:id="0">
    <w:p w:rsidR="00C17CE1" w:rsidRDefault="00C17CE1" w:rsidP="000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E1" w:rsidRDefault="00C17CE1" w:rsidP="00001AA6">
      <w:r>
        <w:separator/>
      </w:r>
    </w:p>
  </w:footnote>
  <w:footnote w:type="continuationSeparator" w:id="0">
    <w:p w:rsidR="00C17CE1" w:rsidRDefault="00C17CE1" w:rsidP="00001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56"/>
    <w:rsid w:val="00001AA6"/>
    <w:rsid w:val="0009446E"/>
    <w:rsid w:val="000B35CF"/>
    <w:rsid w:val="000E2D66"/>
    <w:rsid w:val="000E70E3"/>
    <w:rsid w:val="001008C3"/>
    <w:rsid w:val="00173B71"/>
    <w:rsid w:val="001B4ADB"/>
    <w:rsid w:val="001B55D5"/>
    <w:rsid w:val="001C2935"/>
    <w:rsid w:val="0020312A"/>
    <w:rsid w:val="0024734C"/>
    <w:rsid w:val="00264E81"/>
    <w:rsid w:val="002729A1"/>
    <w:rsid w:val="0029205D"/>
    <w:rsid w:val="002F6DBF"/>
    <w:rsid w:val="003445BD"/>
    <w:rsid w:val="00352975"/>
    <w:rsid w:val="00361885"/>
    <w:rsid w:val="00384F32"/>
    <w:rsid w:val="0043731D"/>
    <w:rsid w:val="004F6320"/>
    <w:rsid w:val="005812CC"/>
    <w:rsid w:val="005B092A"/>
    <w:rsid w:val="005B481B"/>
    <w:rsid w:val="005B525A"/>
    <w:rsid w:val="005C28D3"/>
    <w:rsid w:val="005D467B"/>
    <w:rsid w:val="0060681B"/>
    <w:rsid w:val="006217FD"/>
    <w:rsid w:val="006427B3"/>
    <w:rsid w:val="00642D63"/>
    <w:rsid w:val="006861D8"/>
    <w:rsid w:val="00712B72"/>
    <w:rsid w:val="0076534A"/>
    <w:rsid w:val="007852BE"/>
    <w:rsid w:val="00785D56"/>
    <w:rsid w:val="00831787"/>
    <w:rsid w:val="00837E3E"/>
    <w:rsid w:val="00905D88"/>
    <w:rsid w:val="00930E9B"/>
    <w:rsid w:val="00947308"/>
    <w:rsid w:val="009819AE"/>
    <w:rsid w:val="00982387"/>
    <w:rsid w:val="00990FC7"/>
    <w:rsid w:val="009A61D5"/>
    <w:rsid w:val="009B5C3A"/>
    <w:rsid w:val="009C1BBD"/>
    <w:rsid w:val="009F18DB"/>
    <w:rsid w:val="00A66718"/>
    <w:rsid w:val="00B1280A"/>
    <w:rsid w:val="00B6384C"/>
    <w:rsid w:val="00B73B6A"/>
    <w:rsid w:val="00B90DE8"/>
    <w:rsid w:val="00BB1F0A"/>
    <w:rsid w:val="00BF4720"/>
    <w:rsid w:val="00C17CE1"/>
    <w:rsid w:val="00CB577D"/>
    <w:rsid w:val="00D354C9"/>
    <w:rsid w:val="00DC68F1"/>
    <w:rsid w:val="00DF7B5D"/>
    <w:rsid w:val="00F60773"/>
    <w:rsid w:val="00F83D08"/>
    <w:rsid w:val="00F84D90"/>
    <w:rsid w:val="00F948B9"/>
    <w:rsid w:val="00FD3386"/>
    <w:rsid w:val="00FE6E79"/>
    <w:rsid w:val="00FF1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AA6"/>
    <w:rPr>
      <w:sz w:val="18"/>
      <w:szCs w:val="18"/>
    </w:rPr>
  </w:style>
  <w:style w:type="paragraph" w:styleId="a4">
    <w:name w:val="footer"/>
    <w:basedOn w:val="a"/>
    <w:link w:val="Char0"/>
    <w:uiPriority w:val="99"/>
    <w:unhideWhenUsed/>
    <w:rsid w:val="00001AA6"/>
    <w:pPr>
      <w:tabs>
        <w:tab w:val="center" w:pos="4153"/>
        <w:tab w:val="right" w:pos="8306"/>
      </w:tabs>
      <w:snapToGrid w:val="0"/>
      <w:jc w:val="left"/>
    </w:pPr>
    <w:rPr>
      <w:sz w:val="18"/>
      <w:szCs w:val="18"/>
    </w:rPr>
  </w:style>
  <w:style w:type="character" w:customStyle="1" w:styleId="Char0">
    <w:name w:val="页脚 Char"/>
    <w:basedOn w:val="a0"/>
    <w:link w:val="a4"/>
    <w:uiPriority w:val="99"/>
    <w:rsid w:val="00001A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1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1AA6"/>
    <w:rPr>
      <w:sz w:val="18"/>
      <w:szCs w:val="18"/>
    </w:rPr>
  </w:style>
  <w:style w:type="paragraph" w:styleId="a4">
    <w:name w:val="footer"/>
    <w:basedOn w:val="a"/>
    <w:link w:val="Char0"/>
    <w:uiPriority w:val="99"/>
    <w:unhideWhenUsed/>
    <w:rsid w:val="00001AA6"/>
    <w:pPr>
      <w:tabs>
        <w:tab w:val="center" w:pos="4153"/>
        <w:tab w:val="right" w:pos="8306"/>
      </w:tabs>
      <w:snapToGrid w:val="0"/>
      <w:jc w:val="left"/>
    </w:pPr>
    <w:rPr>
      <w:sz w:val="18"/>
      <w:szCs w:val="18"/>
    </w:rPr>
  </w:style>
  <w:style w:type="character" w:customStyle="1" w:styleId="Char0">
    <w:name w:val="页脚 Char"/>
    <w:basedOn w:val="a0"/>
    <w:link w:val="a4"/>
    <w:uiPriority w:val="99"/>
    <w:rsid w:val="00001A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2336">
      <w:bodyDiv w:val="1"/>
      <w:marLeft w:val="0"/>
      <w:marRight w:val="0"/>
      <w:marTop w:val="0"/>
      <w:marBottom w:val="0"/>
      <w:divBdr>
        <w:top w:val="none" w:sz="0" w:space="0" w:color="auto"/>
        <w:left w:val="none" w:sz="0" w:space="0" w:color="auto"/>
        <w:bottom w:val="none" w:sz="0" w:space="0" w:color="auto"/>
        <w:right w:val="none" w:sz="0" w:space="0" w:color="auto"/>
      </w:divBdr>
    </w:div>
    <w:div w:id="237053892">
      <w:bodyDiv w:val="1"/>
      <w:marLeft w:val="0"/>
      <w:marRight w:val="0"/>
      <w:marTop w:val="0"/>
      <w:marBottom w:val="0"/>
      <w:divBdr>
        <w:top w:val="none" w:sz="0" w:space="0" w:color="auto"/>
        <w:left w:val="none" w:sz="0" w:space="0" w:color="auto"/>
        <w:bottom w:val="none" w:sz="0" w:space="0" w:color="auto"/>
        <w:right w:val="none" w:sz="0" w:space="0" w:color="auto"/>
      </w:divBdr>
    </w:div>
    <w:div w:id="355232980">
      <w:bodyDiv w:val="1"/>
      <w:marLeft w:val="0"/>
      <w:marRight w:val="0"/>
      <w:marTop w:val="0"/>
      <w:marBottom w:val="0"/>
      <w:divBdr>
        <w:top w:val="none" w:sz="0" w:space="0" w:color="auto"/>
        <w:left w:val="none" w:sz="0" w:space="0" w:color="auto"/>
        <w:bottom w:val="none" w:sz="0" w:space="0" w:color="auto"/>
        <w:right w:val="none" w:sz="0" w:space="0" w:color="auto"/>
      </w:divBdr>
    </w:div>
    <w:div w:id="835804805">
      <w:bodyDiv w:val="1"/>
      <w:marLeft w:val="0"/>
      <w:marRight w:val="0"/>
      <w:marTop w:val="0"/>
      <w:marBottom w:val="0"/>
      <w:divBdr>
        <w:top w:val="none" w:sz="0" w:space="0" w:color="auto"/>
        <w:left w:val="none" w:sz="0" w:space="0" w:color="auto"/>
        <w:bottom w:val="none" w:sz="0" w:space="0" w:color="auto"/>
        <w:right w:val="none" w:sz="0" w:space="0" w:color="auto"/>
      </w:divBdr>
    </w:div>
    <w:div w:id="903955988">
      <w:bodyDiv w:val="1"/>
      <w:marLeft w:val="0"/>
      <w:marRight w:val="0"/>
      <w:marTop w:val="0"/>
      <w:marBottom w:val="0"/>
      <w:divBdr>
        <w:top w:val="none" w:sz="0" w:space="0" w:color="auto"/>
        <w:left w:val="none" w:sz="0" w:space="0" w:color="auto"/>
        <w:bottom w:val="none" w:sz="0" w:space="0" w:color="auto"/>
        <w:right w:val="none" w:sz="0" w:space="0" w:color="auto"/>
      </w:divBdr>
    </w:div>
    <w:div w:id="1242983230">
      <w:bodyDiv w:val="1"/>
      <w:marLeft w:val="0"/>
      <w:marRight w:val="0"/>
      <w:marTop w:val="0"/>
      <w:marBottom w:val="0"/>
      <w:divBdr>
        <w:top w:val="none" w:sz="0" w:space="0" w:color="auto"/>
        <w:left w:val="none" w:sz="0" w:space="0" w:color="auto"/>
        <w:bottom w:val="none" w:sz="0" w:space="0" w:color="auto"/>
        <w:right w:val="none" w:sz="0" w:space="0" w:color="auto"/>
      </w:divBdr>
    </w:div>
    <w:div w:id="15452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51</Pages>
  <Words>6059</Words>
  <Characters>34537</Characters>
  <Application>Microsoft Office Word</Application>
  <DocSecurity>0</DocSecurity>
  <Lines>287</Lines>
  <Paragraphs>81</Paragraphs>
  <ScaleCrop>false</ScaleCrop>
  <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刘勇</dc:creator>
  <cp:keywords/>
  <dc:description/>
  <cp:lastModifiedBy>刘勇</cp:lastModifiedBy>
  <cp:revision>41</cp:revision>
  <dcterms:created xsi:type="dcterms:W3CDTF">2014-06-17T08:39:00Z</dcterms:created>
  <dcterms:modified xsi:type="dcterms:W3CDTF">2018-10-08T03:51:00Z</dcterms:modified>
</cp:coreProperties>
</file>