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785" w:rsidRPr="00E67C76" w:rsidRDefault="00CC6139">
      <w:pPr>
        <w:spacing w:after="0" w:line="500" w:lineRule="exact"/>
        <w:jc w:val="center"/>
        <w:rPr>
          <w:rFonts w:ascii="宋体" w:eastAsia="宋体" w:hAnsi="宋体" w:hint="default"/>
          <w:b/>
          <w:bCs/>
          <w:sz w:val="24"/>
          <w:szCs w:val="24"/>
          <w:lang w:val="zh-TW" w:eastAsia="zh-TW"/>
        </w:rPr>
      </w:pPr>
      <w:r w:rsidRPr="00E67C76">
        <w:rPr>
          <w:rFonts w:ascii="宋体" w:eastAsia="宋体" w:hAnsi="宋体"/>
          <w:sz w:val="24"/>
          <w:szCs w:val="24"/>
          <w:lang w:val="zh-TW" w:eastAsia="zh-TW"/>
        </w:rPr>
        <w:t>蓝星安迪苏股份有限公司</w:t>
      </w:r>
    </w:p>
    <w:p w:rsidR="00592785" w:rsidRPr="00E67C76" w:rsidRDefault="00CC6139">
      <w:pPr>
        <w:spacing w:after="0" w:line="500" w:lineRule="exact"/>
        <w:jc w:val="center"/>
        <w:rPr>
          <w:rFonts w:ascii="宋体" w:eastAsia="宋体" w:hAnsi="宋体" w:hint="default"/>
          <w:b/>
          <w:bCs/>
          <w:sz w:val="24"/>
          <w:szCs w:val="24"/>
          <w:lang w:val="zh-TW" w:eastAsia="zh-TW"/>
        </w:rPr>
      </w:pPr>
      <w:r w:rsidRPr="00E67C76">
        <w:rPr>
          <w:rFonts w:ascii="宋体" w:eastAsia="宋体" w:hAnsi="宋体"/>
          <w:sz w:val="24"/>
          <w:szCs w:val="24"/>
          <w:lang w:val="zh-TW" w:eastAsia="zh-TW"/>
        </w:rPr>
        <w:t>投资者沟通记录</w:t>
      </w:r>
    </w:p>
    <w:p w:rsidR="00592785" w:rsidRPr="00E67C76" w:rsidRDefault="00592785">
      <w:pPr>
        <w:pStyle w:val="a6"/>
        <w:ind w:firstLine="0"/>
        <w:rPr>
          <w:rFonts w:ascii="宋体" w:eastAsia="宋体" w:hAnsi="宋体" w:cs="Lantinghei SC Demibold"/>
          <w:sz w:val="24"/>
          <w:szCs w:val="24"/>
          <w:lang w:val="zh-TW" w:eastAsia="zh-TW"/>
        </w:rPr>
      </w:pPr>
    </w:p>
    <w:p w:rsidR="00592785" w:rsidRPr="00E67C76" w:rsidRDefault="00CC6139">
      <w:pPr>
        <w:pStyle w:val="a6"/>
        <w:ind w:firstLine="0"/>
        <w:rPr>
          <w:rFonts w:ascii="宋体" w:eastAsia="宋体" w:hAnsi="宋体" w:cs="Lantinghei SC Demibold"/>
          <w:sz w:val="24"/>
          <w:szCs w:val="24"/>
          <w:lang w:val="zh-TW" w:eastAsia="zh-TW"/>
        </w:rPr>
      </w:pPr>
      <w:r w:rsidRPr="00E67C76">
        <w:rPr>
          <w:rFonts w:ascii="宋体" w:eastAsia="宋体" w:hAnsi="宋体"/>
          <w:sz w:val="24"/>
          <w:szCs w:val="24"/>
          <w:lang w:val="zh-CN"/>
        </w:rPr>
        <w:t xml:space="preserve">1. </w:t>
      </w:r>
      <w:r w:rsidRPr="00E67C76">
        <w:rPr>
          <w:rFonts w:ascii="宋体" w:eastAsia="宋体" w:hAnsi="宋体" w:hint="eastAsia"/>
          <w:sz w:val="24"/>
          <w:szCs w:val="24"/>
          <w:lang w:val="zh-TW" w:eastAsia="zh-TW"/>
        </w:rPr>
        <w:t>会议</w:t>
      </w:r>
      <w:r w:rsidRPr="00E67C76">
        <w:rPr>
          <w:rFonts w:ascii="宋体" w:eastAsia="宋体" w:hAnsi="宋体" w:hint="eastAsia"/>
          <w:sz w:val="24"/>
          <w:szCs w:val="24"/>
          <w:lang w:val="zh-CN"/>
        </w:rPr>
        <w:t>简介</w:t>
      </w:r>
    </w:p>
    <w:p w:rsidR="00592785" w:rsidRPr="00E67C76" w:rsidRDefault="00CC6139">
      <w:pPr>
        <w:pStyle w:val="a6"/>
        <w:ind w:firstLine="283"/>
        <w:rPr>
          <w:rFonts w:ascii="宋体" w:eastAsia="宋体" w:hAnsi="宋体" w:cs="Lantinghei SC Extralight"/>
          <w:sz w:val="24"/>
          <w:szCs w:val="24"/>
          <w:lang w:val="zh-TW" w:eastAsia="zh-TW"/>
        </w:rPr>
      </w:pPr>
      <w:r w:rsidRPr="00E67C76">
        <w:rPr>
          <w:rFonts w:ascii="宋体" w:eastAsia="宋体" w:hAnsi="宋体"/>
          <w:sz w:val="24"/>
          <w:szCs w:val="24"/>
          <w:lang w:val="zh-CN"/>
        </w:rPr>
        <w:t xml:space="preserve">1.1 </w:t>
      </w:r>
      <w:r w:rsidRPr="00E67C76">
        <w:rPr>
          <w:rFonts w:ascii="宋体" w:eastAsia="宋体" w:hAnsi="宋体" w:hint="eastAsia"/>
          <w:sz w:val="24"/>
          <w:szCs w:val="24"/>
          <w:lang w:val="zh-TW" w:eastAsia="zh-TW"/>
        </w:rPr>
        <w:t>会议时间：</w:t>
      </w:r>
      <w:r w:rsidRPr="00E67C76">
        <w:rPr>
          <w:rFonts w:ascii="宋体" w:eastAsia="宋体" w:hAnsi="宋体"/>
          <w:sz w:val="24"/>
          <w:szCs w:val="24"/>
          <w:lang w:val="zh-TW" w:eastAsia="zh-TW"/>
        </w:rPr>
        <w:t>2019</w:t>
      </w:r>
      <w:r w:rsidRPr="00E67C76">
        <w:rPr>
          <w:rFonts w:ascii="宋体" w:eastAsia="宋体" w:hAnsi="宋体" w:hint="eastAsia"/>
          <w:sz w:val="24"/>
          <w:szCs w:val="24"/>
          <w:lang w:val="zh-TW" w:eastAsia="zh-TW"/>
        </w:rPr>
        <w:t>年</w:t>
      </w:r>
      <w:r w:rsidRPr="00E67C76">
        <w:rPr>
          <w:rFonts w:ascii="宋体" w:eastAsia="宋体" w:hAnsi="宋体"/>
          <w:sz w:val="24"/>
          <w:szCs w:val="24"/>
          <w:lang w:val="zh-TW" w:eastAsia="zh-TW"/>
        </w:rPr>
        <w:t>8</w:t>
      </w:r>
      <w:r w:rsidRPr="00E67C76">
        <w:rPr>
          <w:rFonts w:ascii="宋体" w:eastAsia="宋体" w:hAnsi="宋体" w:hint="eastAsia"/>
          <w:sz w:val="24"/>
          <w:szCs w:val="24"/>
          <w:lang w:val="zh-TW" w:eastAsia="zh-TW"/>
        </w:rPr>
        <w:t>月</w:t>
      </w:r>
      <w:r w:rsidRPr="00E67C76">
        <w:rPr>
          <w:rFonts w:ascii="宋体" w:eastAsia="宋体" w:hAnsi="宋体"/>
          <w:sz w:val="24"/>
          <w:szCs w:val="24"/>
          <w:lang w:val="zh-TW" w:eastAsia="zh-TW"/>
        </w:rPr>
        <w:t>9</w:t>
      </w:r>
      <w:r w:rsidRPr="00E67C76">
        <w:rPr>
          <w:rFonts w:ascii="宋体" w:eastAsia="宋体" w:hAnsi="宋体" w:hint="eastAsia"/>
          <w:sz w:val="24"/>
          <w:szCs w:val="24"/>
          <w:lang w:val="zh-TW" w:eastAsia="zh-TW"/>
        </w:rPr>
        <w:t>日</w:t>
      </w:r>
    </w:p>
    <w:p w:rsidR="00592785" w:rsidRPr="00E67C76" w:rsidRDefault="00CC6139">
      <w:pPr>
        <w:pStyle w:val="a6"/>
        <w:ind w:firstLine="283"/>
        <w:rPr>
          <w:rFonts w:ascii="宋体" w:eastAsia="宋体" w:hAnsi="宋体" w:cs="Lantinghei SC Extralight"/>
          <w:sz w:val="24"/>
          <w:szCs w:val="24"/>
          <w:lang w:val="zh-TW" w:eastAsia="zh-TW"/>
        </w:rPr>
      </w:pPr>
      <w:r w:rsidRPr="00E67C76">
        <w:rPr>
          <w:rFonts w:ascii="宋体" w:eastAsia="宋体" w:hAnsi="宋体"/>
          <w:sz w:val="24"/>
          <w:szCs w:val="24"/>
          <w:lang w:val="zh-CN"/>
        </w:rPr>
        <w:t xml:space="preserve">1.2 </w:t>
      </w:r>
      <w:r w:rsidRPr="00E67C76">
        <w:rPr>
          <w:rFonts w:ascii="宋体" w:eastAsia="宋体" w:hAnsi="宋体" w:hint="eastAsia"/>
          <w:sz w:val="24"/>
          <w:szCs w:val="24"/>
          <w:lang w:val="zh-TW" w:eastAsia="zh-TW"/>
        </w:rPr>
        <w:t>参会机构：</w:t>
      </w:r>
    </w:p>
    <w:p w:rsidR="00592785" w:rsidRPr="00E67C76" w:rsidRDefault="00CC6139">
      <w:pPr>
        <w:pStyle w:val="a6"/>
        <w:ind w:left="340" w:firstLine="0"/>
        <w:rPr>
          <w:rFonts w:ascii="宋体" w:eastAsia="宋体" w:hAnsi="宋体" w:cs="Lantinghei SC Extralight"/>
          <w:sz w:val="24"/>
          <w:szCs w:val="24"/>
          <w:lang w:val="zh-TW" w:eastAsia="zh-TW"/>
        </w:rPr>
      </w:pPr>
      <w:r w:rsidRPr="00E67C76">
        <w:rPr>
          <w:rFonts w:ascii="宋体" w:eastAsia="宋体" w:hAnsi="宋体" w:hint="eastAsia"/>
          <w:sz w:val="24"/>
          <w:szCs w:val="24"/>
          <w:lang w:val="zh-TW" w:eastAsia="zh-TW"/>
        </w:rPr>
        <w:t>财通证券、大朴资产、东北证券、东兴证券、高毅资产、光大证券、国联安基金、国联证券、寒武纪、华泰保兴基金、汇丰前海证券、汇添富基金、润邦投资、宽谷投资、朗逸资产、立格资本、融通基金、熵一资本、盛盈资本、拾贝投资、信达证券、易方达基金、翼虎投资、正植投资、中金公司、中天证券、中信建投证券、中银国际证券</w:t>
      </w:r>
    </w:p>
    <w:p w:rsidR="00592785" w:rsidRPr="00E67C76" w:rsidRDefault="00CC6139">
      <w:pPr>
        <w:pStyle w:val="a6"/>
        <w:ind w:firstLine="283"/>
        <w:rPr>
          <w:rFonts w:ascii="宋体" w:eastAsia="宋体" w:hAnsi="宋体" w:cs="Lantinghei SC Extralight"/>
          <w:sz w:val="24"/>
          <w:szCs w:val="24"/>
          <w:lang w:val="zh-TW" w:eastAsia="zh-TW"/>
        </w:rPr>
      </w:pPr>
      <w:r w:rsidRPr="00E67C76">
        <w:rPr>
          <w:rFonts w:ascii="宋体" w:eastAsia="宋体" w:hAnsi="宋体"/>
          <w:sz w:val="24"/>
          <w:szCs w:val="24"/>
          <w:lang w:val="zh-CN"/>
        </w:rPr>
        <w:t xml:space="preserve">1.3 </w:t>
      </w:r>
      <w:r w:rsidRPr="00E67C76">
        <w:rPr>
          <w:rFonts w:ascii="宋体" w:eastAsia="宋体" w:hAnsi="宋体" w:hint="eastAsia"/>
          <w:sz w:val="24"/>
          <w:szCs w:val="24"/>
          <w:lang w:val="zh-TW" w:eastAsia="zh-TW"/>
        </w:rPr>
        <w:t>接待人员：董事长、财务总监、董事会秘书</w:t>
      </w:r>
    </w:p>
    <w:p w:rsidR="00592785" w:rsidRPr="00E67C76" w:rsidRDefault="00CC6139">
      <w:pPr>
        <w:pStyle w:val="a6"/>
        <w:ind w:firstLine="283"/>
        <w:rPr>
          <w:rFonts w:ascii="宋体" w:eastAsia="宋体" w:hAnsi="宋体" w:cs="Lantinghei SC Extralight"/>
          <w:sz w:val="24"/>
          <w:szCs w:val="24"/>
          <w:lang w:val="zh-TW" w:eastAsia="zh-TW"/>
        </w:rPr>
      </w:pPr>
      <w:r w:rsidRPr="00E67C76">
        <w:rPr>
          <w:rFonts w:ascii="宋体" w:eastAsia="宋体" w:hAnsi="宋体"/>
          <w:sz w:val="24"/>
          <w:szCs w:val="24"/>
          <w:lang w:val="zh-CN"/>
        </w:rPr>
        <w:t xml:space="preserve">1.4 </w:t>
      </w:r>
      <w:r w:rsidRPr="00E67C76">
        <w:rPr>
          <w:rFonts w:ascii="宋体" w:eastAsia="宋体" w:hAnsi="宋体" w:hint="eastAsia"/>
          <w:sz w:val="24"/>
          <w:szCs w:val="24"/>
          <w:lang w:val="zh-TW" w:eastAsia="zh-TW"/>
        </w:rPr>
        <w:t>会议地点：北京蓝星大厦会议室</w:t>
      </w:r>
    </w:p>
    <w:p w:rsidR="00592785" w:rsidRPr="00E67C76" w:rsidRDefault="00CC6139">
      <w:pPr>
        <w:pStyle w:val="a6"/>
        <w:ind w:firstLine="283"/>
        <w:rPr>
          <w:rFonts w:ascii="宋体" w:eastAsia="宋体" w:hAnsi="宋体" w:cs="Lantinghei SC Extralight"/>
          <w:sz w:val="24"/>
          <w:szCs w:val="24"/>
          <w:lang w:val="zh-TW" w:eastAsia="zh-TW"/>
        </w:rPr>
      </w:pPr>
      <w:r w:rsidRPr="00E67C76">
        <w:rPr>
          <w:rFonts w:ascii="宋体" w:eastAsia="宋体" w:hAnsi="宋体"/>
          <w:sz w:val="24"/>
          <w:szCs w:val="24"/>
          <w:lang w:val="zh-CN"/>
        </w:rPr>
        <w:t xml:space="preserve">1.5 </w:t>
      </w:r>
      <w:r w:rsidRPr="00E67C76">
        <w:rPr>
          <w:rFonts w:ascii="宋体" w:eastAsia="宋体" w:hAnsi="宋体" w:hint="eastAsia"/>
          <w:sz w:val="24"/>
          <w:szCs w:val="24"/>
          <w:lang w:val="zh-TW" w:eastAsia="zh-TW"/>
        </w:rPr>
        <w:t>会议形式：投资者交流会（电话会议）</w:t>
      </w:r>
    </w:p>
    <w:p w:rsidR="00592785" w:rsidRPr="00E67C76" w:rsidRDefault="00592785">
      <w:pPr>
        <w:pStyle w:val="a6"/>
        <w:ind w:firstLine="283"/>
        <w:rPr>
          <w:rFonts w:ascii="宋体" w:eastAsia="宋体" w:hAnsi="宋体"/>
          <w:sz w:val="24"/>
          <w:szCs w:val="24"/>
          <w:lang w:val="zh-TW" w:eastAsia="zh-TW"/>
        </w:rPr>
      </w:pPr>
    </w:p>
    <w:p w:rsidR="00592785" w:rsidRPr="00E67C76" w:rsidRDefault="00CC6139">
      <w:pPr>
        <w:pStyle w:val="a6"/>
        <w:ind w:firstLine="0"/>
        <w:rPr>
          <w:rFonts w:ascii="宋体" w:eastAsia="宋体" w:hAnsi="宋体" w:cs="Lantinghei SC Demibold"/>
          <w:sz w:val="24"/>
          <w:szCs w:val="24"/>
          <w:lang w:val="zh-TW" w:eastAsia="zh-TW"/>
        </w:rPr>
      </w:pPr>
      <w:r w:rsidRPr="00E67C76">
        <w:rPr>
          <w:rFonts w:ascii="宋体" w:eastAsia="宋体" w:hAnsi="宋体"/>
          <w:sz w:val="24"/>
          <w:szCs w:val="24"/>
          <w:lang w:val="zh-CN"/>
        </w:rPr>
        <w:t xml:space="preserve">2. </w:t>
      </w:r>
      <w:r w:rsidRPr="00E67C76">
        <w:rPr>
          <w:rFonts w:ascii="宋体" w:eastAsia="宋体" w:hAnsi="宋体"/>
          <w:sz w:val="24"/>
          <w:szCs w:val="24"/>
          <w:lang w:val="zh-TW" w:eastAsia="zh-TW"/>
        </w:rPr>
        <w:t>2019</w:t>
      </w:r>
      <w:r w:rsidR="00E05D97">
        <w:rPr>
          <w:rFonts w:ascii="宋体" w:eastAsia="宋体" w:hAnsi="宋体" w:hint="eastAsia"/>
          <w:sz w:val="24"/>
          <w:szCs w:val="24"/>
          <w:lang w:val="zh-TW" w:eastAsia="zh-TW"/>
        </w:rPr>
        <w:t>年第一次临时股东大会</w:t>
      </w:r>
      <w:r w:rsidRPr="00E67C76">
        <w:rPr>
          <w:rFonts w:ascii="宋体" w:eastAsia="宋体" w:hAnsi="宋体" w:hint="eastAsia"/>
          <w:sz w:val="24"/>
          <w:szCs w:val="24"/>
          <w:lang w:val="zh-TW" w:eastAsia="zh-TW"/>
        </w:rPr>
        <w:t>议案的介绍</w:t>
      </w:r>
    </w:p>
    <w:p w:rsidR="00592785" w:rsidRDefault="00E67C76" w:rsidP="00E67C76">
      <w:pPr>
        <w:pStyle w:val="a6"/>
        <w:ind w:firstLine="283"/>
        <w:rPr>
          <w:rFonts w:ascii="宋体" w:eastAsia="宋体" w:hAnsi="宋体" w:cs="微软雅黑"/>
          <w:sz w:val="24"/>
          <w:szCs w:val="24"/>
          <w:lang w:val="zh-CN"/>
        </w:rPr>
      </w:pPr>
      <w:r w:rsidRPr="00E67C76">
        <w:rPr>
          <w:rFonts w:ascii="宋体" w:eastAsia="宋体" w:hAnsi="宋体" w:cs="微软雅黑" w:hint="eastAsia"/>
          <w:sz w:val="24"/>
          <w:szCs w:val="24"/>
          <w:lang w:val="zh-CN"/>
        </w:rPr>
        <w:t>议案由第七届董事会第三次会议在</w:t>
      </w:r>
      <w:r w:rsidRPr="00E67C76">
        <w:rPr>
          <w:rFonts w:ascii="宋体" w:eastAsia="宋体" w:hAnsi="宋体"/>
          <w:sz w:val="24"/>
          <w:szCs w:val="24"/>
          <w:lang w:val="zh-CN"/>
        </w:rPr>
        <w:t>2019</w:t>
      </w:r>
      <w:r w:rsidRPr="00E67C76">
        <w:rPr>
          <w:rFonts w:ascii="宋体" w:eastAsia="宋体" w:hAnsi="宋体" w:cs="微软雅黑" w:hint="eastAsia"/>
          <w:sz w:val="24"/>
          <w:szCs w:val="24"/>
          <w:lang w:val="zh-CN"/>
        </w:rPr>
        <w:t>年</w:t>
      </w:r>
      <w:r w:rsidRPr="00E67C76">
        <w:rPr>
          <w:rFonts w:ascii="宋体" w:eastAsia="宋体" w:hAnsi="宋体"/>
          <w:sz w:val="24"/>
          <w:szCs w:val="24"/>
          <w:lang w:val="zh-CN"/>
        </w:rPr>
        <w:t>1</w:t>
      </w:r>
      <w:r w:rsidRPr="00E67C76">
        <w:rPr>
          <w:rFonts w:ascii="宋体" w:eastAsia="宋体" w:hAnsi="宋体" w:cs="微软雅黑" w:hint="eastAsia"/>
          <w:sz w:val="24"/>
          <w:szCs w:val="24"/>
          <w:lang w:val="zh-CN"/>
        </w:rPr>
        <w:t>月</w:t>
      </w:r>
      <w:r w:rsidRPr="00E67C76">
        <w:rPr>
          <w:rFonts w:ascii="宋体" w:eastAsia="宋体" w:hAnsi="宋体"/>
          <w:sz w:val="24"/>
          <w:szCs w:val="24"/>
          <w:lang w:val="zh-CN"/>
        </w:rPr>
        <w:t>16</w:t>
      </w:r>
      <w:r w:rsidRPr="00E67C76">
        <w:rPr>
          <w:rFonts w:ascii="宋体" w:eastAsia="宋体" w:hAnsi="宋体" w:cs="微软雅黑" w:hint="eastAsia"/>
          <w:sz w:val="24"/>
          <w:szCs w:val="24"/>
          <w:lang w:val="zh-CN"/>
        </w:rPr>
        <w:t>日审议通过，后续进展公告和股东大会召开通知已于</w:t>
      </w:r>
      <w:r w:rsidRPr="00E67C76">
        <w:rPr>
          <w:rFonts w:ascii="宋体" w:eastAsia="宋体" w:hAnsi="宋体"/>
          <w:sz w:val="24"/>
          <w:szCs w:val="24"/>
          <w:lang w:val="zh-CN"/>
        </w:rPr>
        <w:t>2019</w:t>
      </w:r>
      <w:r w:rsidRPr="00E67C76">
        <w:rPr>
          <w:rFonts w:ascii="宋体" w:eastAsia="宋体" w:hAnsi="宋体" w:cs="微软雅黑" w:hint="eastAsia"/>
          <w:sz w:val="24"/>
          <w:szCs w:val="24"/>
          <w:lang w:val="zh-CN"/>
        </w:rPr>
        <w:t>年</w:t>
      </w:r>
      <w:r w:rsidRPr="00E67C76">
        <w:rPr>
          <w:rFonts w:ascii="宋体" w:eastAsia="宋体" w:hAnsi="宋体"/>
          <w:sz w:val="24"/>
          <w:szCs w:val="24"/>
          <w:lang w:val="zh-CN"/>
        </w:rPr>
        <w:t>7</w:t>
      </w:r>
      <w:r w:rsidRPr="00E67C76">
        <w:rPr>
          <w:rFonts w:ascii="宋体" w:eastAsia="宋体" w:hAnsi="宋体" w:cs="微软雅黑" w:hint="eastAsia"/>
          <w:sz w:val="24"/>
          <w:szCs w:val="24"/>
          <w:lang w:val="zh-CN"/>
        </w:rPr>
        <w:t>月</w:t>
      </w:r>
      <w:r w:rsidRPr="00E67C76">
        <w:rPr>
          <w:rFonts w:ascii="宋体" w:eastAsia="宋体" w:hAnsi="宋体"/>
          <w:sz w:val="24"/>
          <w:szCs w:val="24"/>
          <w:lang w:val="zh-CN"/>
        </w:rPr>
        <w:t>9</w:t>
      </w:r>
      <w:r w:rsidR="0090443D">
        <w:rPr>
          <w:rFonts w:ascii="宋体" w:eastAsia="宋体" w:hAnsi="宋体" w:cs="微软雅黑" w:hint="eastAsia"/>
          <w:sz w:val="24"/>
          <w:szCs w:val="24"/>
          <w:lang w:val="zh-CN"/>
        </w:rPr>
        <w:t>日公布。2</w:t>
      </w:r>
      <w:r w:rsidR="0090443D">
        <w:rPr>
          <w:rFonts w:ascii="宋体" w:eastAsia="宋体" w:hAnsi="宋体" w:cs="微软雅黑"/>
          <w:sz w:val="24"/>
          <w:szCs w:val="24"/>
          <w:lang w:val="zh-CN"/>
        </w:rPr>
        <w:t>019</w:t>
      </w:r>
      <w:r w:rsidR="0090443D">
        <w:rPr>
          <w:rFonts w:ascii="宋体" w:eastAsia="宋体" w:hAnsi="宋体" w:cs="微软雅黑" w:hint="eastAsia"/>
          <w:sz w:val="24"/>
          <w:szCs w:val="24"/>
          <w:lang w:val="zh-CN"/>
        </w:rPr>
        <w:t>年8月8日</w:t>
      </w:r>
      <w:r w:rsidRPr="00E67C76">
        <w:rPr>
          <w:rFonts w:ascii="宋体" w:eastAsia="宋体" w:hAnsi="宋体" w:cs="微软雅黑" w:hint="eastAsia"/>
          <w:sz w:val="24"/>
          <w:szCs w:val="24"/>
          <w:lang w:val="zh-CN"/>
        </w:rPr>
        <w:t>，召开的第一次临时股东大会在对这个议案进行审议后，由于赞成票占比是</w:t>
      </w:r>
      <w:r w:rsidRPr="00E67C76">
        <w:rPr>
          <w:rFonts w:ascii="宋体" w:eastAsia="宋体" w:hAnsi="宋体"/>
          <w:sz w:val="24"/>
          <w:szCs w:val="24"/>
          <w:lang w:val="zh-CN"/>
        </w:rPr>
        <w:t>49.8556%</w:t>
      </w:r>
      <w:r w:rsidR="0090443D">
        <w:rPr>
          <w:rFonts w:ascii="宋体" w:eastAsia="宋体" w:hAnsi="宋体" w:cs="微软雅黑" w:hint="eastAsia"/>
          <w:sz w:val="24"/>
          <w:szCs w:val="24"/>
          <w:lang w:val="zh-CN"/>
        </w:rPr>
        <w:t>微低于反对票，该议案未能通过。</w:t>
      </w:r>
    </w:p>
    <w:p w:rsidR="00E67C76" w:rsidRPr="00E67C76" w:rsidRDefault="00E67C76" w:rsidP="00E67C76">
      <w:pPr>
        <w:pStyle w:val="a6"/>
        <w:ind w:firstLine="283"/>
        <w:rPr>
          <w:rFonts w:ascii="宋体" w:eastAsia="宋体" w:hAnsi="宋体"/>
          <w:sz w:val="24"/>
          <w:szCs w:val="24"/>
        </w:rPr>
      </w:pPr>
    </w:p>
    <w:p w:rsidR="00592785" w:rsidRPr="00E67C76" w:rsidRDefault="00CC6139">
      <w:pPr>
        <w:pStyle w:val="a6"/>
        <w:ind w:firstLine="0"/>
        <w:rPr>
          <w:rFonts w:ascii="宋体" w:eastAsia="宋体" w:hAnsi="宋体" w:cs="Lantinghei SC Demibold"/>
          <w:sz w:val="24"/>
          <w:szCs w:val="24"/>
          <w:lang w:val="zh-TW" w:eastAsia="zh-TW"/>
        </w:rPr>
      </w:pPr>
      <w:r w:rsidRPr="00E67C76">
        <w:rPr>
          <w:rFonts w:ascii="宋体" w:eastAsia="宋体" w:hAnsi="宋体"/>
          <w:sz w:val="24"/>
          <w:szCs w:val="24"/>
          <w:lang w:val="zh-CN"/>
        </w:rPr>
        <w:t xml:space="preserve">3. </w:t>
      </w:r>
      <w:r w:rsidRPr="00E67C76">
        <w:rPr>
          <w:rFonts w:ascii="宋体" w:eastAsia="宋体" w:hAnsi="宋体" w:hint="eastAsia"/>
          <w:sz w:val="24"/>
          <w:szCs w:val="24"/>
          <w:lang w:val="zh-TW" w:eastAsia="zh-TW"/>
        </w:rPr>
        <w:t>针对参与者感兴趣的以下问题做出解答</w:t>
      </w:r>
    </w:p>
    <w:p w:rsidR="00592785" w:rsidRDefault="00CC6139">
      <w:pPr>
        <w:pStyle w:val="a6"/>
        <w:ind w:firstLine="283"/>
        <w:rPr>
          <w:rFonts w:ascii="宋体" w:eastAsia="PMingLiU" w:hAnsi="宋体"/>
          <w:sz w:val="24"/>
          <w:szCs w:val="24"/>
          <w:lang w:val="zh-TW"/>
        </w:rPr>
      </w:pPr>
      <w:r w:rsidRPr="00E67C76">
        <w:rPr>
          <w:rFonts w:ascii="宋体" w:eastAsia="宋体" w:hAnsi="宋体"/>
          <w:sz w:val="24"/>
          <w:szCs w:val="24"/>
          <w:lang w:val="zh-TW" w:eastAsia="zh-TW"/>
        </w:rPr>
        <w:t>3.</w:t>
      </w:r>
      <w:r w:rsidRPr="00E67C76">
        <w:rPr>
          <w:rFonts w:ascii="宋体" w:eastAsia="宋体" w:hAnsi="宋体"/>
          <w:sz w:val="24"/>
          <w:szCs w:val="24"/>
          <w:lang w:val="zh-CN"/>
        </w:rPr>
        <w:t>1</w:t>
      </w:r>
      <w:r w:rsidR="00E05D97">
        <w:rPr>
          <w:rFonts w:ascii="宋体" w:eastAsia="宋体" w:hAnsi="宋体" w:hint="eastAsia"/>
          <w:sz w:val="24"/>
          <w:szCs w:val="24"/>
          <w:lang w:val="zh-TW" w:eastAsia="zh-TW"/>
        </w:rPr>
        <w:t>公司</w:t>
      </w:r>
      <w:r w:rsidR="00E05D97">
        <w:rPr>
          <w:rFonts w:ascii="宋体" w:eastAsia="宋体" w:hAnsi="宋体" w:hint="eastAsia"/>
          <w:sz w:val="24"/>
          <w:szCs w:val="24"/>
          <w:lang w:val="zh-TW"/>
        </w:rPr>
        <w:t>股权结构</w:t>
      </w:r>
      <w:r w:rsidR="00E05D97">
        <w:rPr>
          <w:rFonts w:ascii="宋体" w:eastAsia="宋体" w:hAnsi="宋体"/>
          <w:sz w:val="24"/>
          <w:szCs w:val="24"/>
          <w:lang w:val="zh-TW"/>
        </w:rPr>
        <w:t>以及此次议案相关后续计划</w:t>
      </w:r>
    </w:p>
    <w:p w:rsidR="0090443D" w:rsidRDefault="00E05D97">
      <w:pPr>
        <w:pStyle w:val="a6"/>
        <w:ind w:firstLine="283"/>
        <w:rPr>
          <w:rFonts w:eastAsiaTheme="minorEastAsia"/>
          <w:sz w:val="24"/>
          <w:szCs w:val="24"/>
          <w:lang w:val="zh-CN"/>
        </w:rPr>
      </w:pPr>
      <w:r>
        <w:rPr>
          <w:rFonts w:eastAsiaTheme="minorEastAsia" w:hint="eastAsia"/>
          <w:sz w:val="24"/>
          <w:szCs w:val="24"/>
          <w:lang w:val="zh-CN"/>
        </w:rPr>
        <w:t>目前</w:t>
      </w:r>
      <w:r>
        <w:rPr>
          <w:rFonts w:eastAsiaTheme="minorEastAsia"/>
          <w:sz w:val="24"/>
          <w:szCs w:val="24"/>
          <w:lang w:val="zh-CN"/>
        </w:rPr>
        <w:t>，</w:t>
      </w:r>
      <w:r w:rsidR="0090443D">
        <w:rPr>
          <w:rFonts w:eastAsiaTheme="minorEastAsia" w:hint="eastAsia"/>
          <w:sz w:val="24"/>
          <w:szCs w:val="24"/>
          <w:lang w:val="zh-CN"/>
        </w:rPr>
        <w:t>蓝星</w:t>
      </w:r>
      <w:r>
        <w:rPr>
          <w:rFonts w:eastAsiaTheme="minorEastAsia"/>
          <w:sz w:val="24"/>
          <w:szCs w:val="24"/>
          <w:lang w:val="zh-CN"/>
        </w:rPr>
        <w:t>集团</w:t>
      </w:r>
      <w:r w:rsidR="0090443D" w:rsidRPr="0090443D">
        <w:rPr>
          <w:rFonts w:eastAsiaTheme="minorEastAsia" w:hint="cs"/>
          <w:sz w:val="24"/>
          <w:szCs w:val="24"/>
          <w:lang w:val="zh-CN"/>
        </w:rPr>
        <w:t>持股</w:t>
      </w:r>
      <w:r w:rsidR="0090443D">
        <w:rPr>
          <w:rFonts w:eastAsiaTheme="minorEastAsia" w:hint="eastAsia"/>
          <w:sz w:val="24"/>
          <w:szCs w:val="24"/>
          <w:lang w:val="zh-CN"/>
        </w:rPr>
        <w:t>安迪苏</w:t>
      </w:r>
      <w:r>
        <w:rPr>
          <w:rFonts w:eastAsiaTheme="minorEastAsia" w:hint="eastAsia"/>
          <w:sz w:val="24"/>
          <w:szCs w:val="24"/>
          <w:lang w:val="zh-CN"/>
        </w:rPr>
        <w:t>约</w:t>
      </w:r>
      <w:r w:rsidR="0090443D">
        <w:rPr>
          <w:rFonts w:eastAsiaTheme="minorEastAsia" w:hint="eastAsia"/>
          <w:sz w:val="24"/>
          <w:szCs w:val="24"/>
          <w:lang w:val="zh-CN"/>
        </w:rPr>
        <w:t>89</w:t>
      </w:r>
      <w:r w:rsidR="0090443D" w:rsidRPr="0090443D">
        <w:rPr>
          <w:rFonts w:eastAsiaTheme="minorEastAsia"/>
          <w:sz w:val="24"/>
          <w:szCs w:val="24"/>
          <w:lang w:val="zh-CN"/>
        </w:rPr>
        <w:t>%</w:t>
      </w:r>
      <w:r w:rsidR="0090443D">
        <w:rPr>
          <w:rFonts w:eastAsiaTheme="minorEastAsia"/>
          <w:sz w:val="24"/>
          <w:szCs w:val="24"/>
          <w:lang w:val="zh-CN"/>
        </w:rPr>
        <w:t>的</w:t>
      </w:r>
      <w:r w:rsidR="0090443D">
        <w:rPr>
          <w:rFonts w:eastAsiaTheme="minorEastAsia" w:hint="eastAsia"/>
          <w:sz w:val="24"/>
          <w:szCs w:val="24"/>
          <w:lang w:val="zh-CN"/>
        </w:rPr>
        <w:t>股份</w:t>
      </w:r>
      <w:r w:rsidR="0090443D">
        <w:rPr>
          <w:rFonts w:eastAsiaTheme="minorEastAsia"/>
          <w:sz w:val="24"/>
          <w:szCs w:val="24"/>
          <w:lang w:val="zh-CN"/>
        </w:rPr>
        <w:t>，</w:t>
      </w:r>
      <w:r w:rsidR="0090443D">
        <w:rPr>
          <w:rFonts w:eastAsiaTheme="minorEastAsia" w:hint="eastAsia"/>
          <w:sz w:val="24"/>
          <w:szCs w:val="24"/>
          <w:lang w:val="zh-CN"/>
        </w:rPr>
        <w:t>蓝星</w:t>
      </w:r>
      <w:r>
        <w:rPr>
          <w:rFonts w:eastAsiaTheme="minorEastAsia"/>
          <w:sz w:val="24"/>
          <w:szCs w:val="24"/>
          <w:lang w:val="zh-CN"/>
        </w:rPr>
        <w:t>集团</w:t>
      </w:r>
      <w:r>
        <w:rPr>
          <w:rFonts w:eastAsiaTheme="minorEastAsia" w:hint="eastAsia"/>
          <w:sz w:val="24"/>
          <w:szCs w:val="24"/>
          <w:lang w:val="zh-CN"/>
        </w:rPr>
        <w:t>已经</w:t>
      </w:r>
      <w:r>
        <w:rPr>
          <w:rFonts w:eastAsiaTheme="minorEastAsia"/>
          <w:sz w:val="24"/>
          <w:szCs w:val="24"/>
          <w:lang w:val="zh-CN"/>
        </w:rPr>
        <w:t>开展</w:t>
      </w:r>
      <w:r>
        <w:rPr>
          <w:rFonts w:eastAsiaTheme="minorEastAsia" w:hint="eastAsia"/>
          <w:sz w:val="24"/>
          <w:szCs w:val="24"/>
          <w:lang w:val="zh-CN"/>
        </w:rPr>
        <w:t>了</w:t>
      </w:r>
      <w:r>
        <w:rPr>
          <w:rFonts w:eastAsiaTheme="minorEastAsia"/>
          <w:sz w:val="24"/>
          <w:szCs w:val="24"/>
          <w:lang w:val="zh-CN"/>
        </w:rPr>
        <w:t>可交换债券</w:t>
      </w:r>
      <w:r>
        <w:rPr>
          <w:rFonts w:eastAsiaTheme="minorEastAsia" w:hint="eastAsia"/>
          <w:sz w:val="24"/>
          <w:szCs w:val="24"/>
          <w:lang w:val="zh-CN"/>
        </w:rPr>
        <w:t>的</w:t>
      </w:r>
      <w:r>
        <w:rPr>
          <w:rFonts w:eastAsiaTheme="minorEastAsia"/>
          <w:sz w:val="24"/>
          <w:szCs w:val="24"/>
          <w:lang w:val="zh-CN"/>
        </w:rPr>
        <w:t>工作，</w:t>
      </w:r>
      <w:r>
        <w:rPr>
          <w:rFonts w:eastAsiaTheme="minorEastAsia" w:hint="eastAsia"/>
          <w:sz w:val="24"/>
          <w:szCs w:val="24"/>
          <w:lang w:val="zh-CN"/>
        </w:rPr>
        <w:t>并且</w:t>
      </w:r>
      <w:r>
        <w:rPr>
          <w:rFonts w:eastAsiaTheme="minorEastAsia"/>
          <w:sz w:val="24"/>
          <w:szCs w:val="24"/>
          <w:lang w:val="zh-CN"/>
        </w:rPr>
        <w:t>通知安迪苏</w:t>
      </w:r>
      <w:r>
        <w:rPr>
          <w:rFonts w:eastAsiaTheme="minorEastAsia" w:hint="eastAsia"/>
          <w:sz w:val="24"/>
          <w:szCs w:val="24"/>
          <w:lang w:val="zh-CN"/>
        </w:rPr>
        <w:t>并</w:t>
      </w:r>
      <w:r>
        <w:rPr>
          <w:rFonts w:eastAsiaTheme="minorEastAsia"/>
          <w:sz w:val="24"/>
          <w:szCs w:val="24"/>
          <w:lang w:val="zh-CN"/>
        </w:rPr>
        <w:t>发布了公告</w:t>
      </w:r>
      <w:r>
        <w:rPr>
          <w:rFonts w:eastAsiaTheme="minorEastAsia" w:hint="eastAsia"/>
          <w:sz w:val="24"/>
          <w:szCs w:val="24"/>
          <w:lang w:val="zh-CN"/>
        </w:rPr>
        <w:t>；</w:t>
      </w:r>
      <w:r>
        <w:rPr>
          <w:rFonts w:eastAsiaTheme="minorEastAsia"/>
          <w:sz w:val="24"/>
          <w:szCs w:val="24"/>
          <w:lang w:val="zh-CN"/>
        </w:rPr>
        <w:t>除此之外，暂无其他</w:t>
      </w:r>
      <w:r w:rsidR="00A54494">
        <w:rPr>
          <w:rFonts w:eastAsiaTheme="minorEastAsia" w:hint="eastAsia"/>
          <w:sz w:val="24"/>
          <w:szCs w:val="24"/>
          <w:lang w:val="zh-CN"/>
        </w:rPr>
        <w:t>计划</w:t>
      </w:r>
      <w:r w:rsidR="0090443D" w:rsidRPr="0090443D">
        <w:rPr>
          <w:rFonts w:eastAsiaTheme="minorEastAsia"/>
          <w:sz w:val="24"/>
          <w:szCs w:val="24"/>
          <w:lang w:val="zh-CN"/>
        </w:rPr>
        <w:t>。同时，尽管</w:t>
      </w:r>
      <w:r w:rsidR="00A54494">
        <w:rPr>
          <w:rFonts w:eastAsiaTheme="minorEastAsia" w:hint="eastAsia"/>
          <w:sz w:val="24"/>
          <w:szCs w:val="24"/>
          <w:lang w:val="zh-CN"/>
        </w:rPr>
        <w:t>昨天</w:t>
      </w:r>
      <w:r w:rsidR="00A54494">
        <w:rPr>
          <w:rFonts w:eastAsiaTheme="minorEastAsia"/>
          <w:sz w:val="24"/>
          <w:szCs w:val="24"/>
          <w:lang w:val="zh-CN"/>
        </w:rPr>
        <w:t>的股东大会</w:t>
      </w:r>
      <w:r w:rsidR="00A54494">
        <w:rPr>
          <w:rFonts w:eastAsiaTheme="minorEastAsia" w:hint="eastAsia"/>
          <w:sz w:val="24"/>
          <w:szCs w:val="24"/>
          <w:lang w:val="zh-CN"/>
        </w:rPr>
        <w:t>议案</w:t>
      </w:r>
      <w:r w:rsidR="00A54494">
        <w:rPr>
          <w:rFonts w:eastAsiaTheme="minorEastAsia"/>
          <w:sz w:val="24"/>
          <w:szCs w:val="24"/>
          <w:lang w:val="zh-CN"/>
        </w:rPr>
        <w:t>未能</w:t>
      </w:r>
      <w:r w:rsidR="00A54494">
        <w:rPr>
          <w:rFonts w:eastAsiaTheme="minorEastAsia" w:hint="eastAsia"/>
          <w:sz w:val="24"/>
          <w:szCs w:val="24"/>
          <w:lang w:val="zh-CN"/>
        </w:rPr>
        <w:t>通过</w:t>
      </w:r>
      <w:r>
        <w:rPr>
          <w:rFonts w:eastAsiaTheme="minorEastAsia"/>
          <w:sz w:val="24"/>
          <w:szCs w:val="24"/>
          <w:lang w:val="zh-CN"/>
        </w:rPr>
        <w:t>，上市公司</w:t>
      </w:r>
      <w:r>
        <w:rPr>
          <w:rFonts w:eastAsiaTheme="minorEastAsia" w:hint="eastAsia"/>
          <w:sz w:val="24"/>
          <w:szCs w:val="24"/>
          <w:lang w:val="zh-CN"/>
        </w:rPr>
        <w:t>已经</w:t>
      </w:r>
      <w:r>
        <w:rPr>
          <w:rFonts w:eastAsiaTheme="minorEastAsia"/>
          <w:sz w:val="24"/>
          <w:szCs w:val="24"/>
          <w:lang w:val="zh-CN"/>
        </w:rPr>
        <w:t>听取</w:t>
      </w:r>
      <w:r>
        <w:rPr>
          <w:rFonts w:eastAsiaTheme="minorEastAsia" w:hint="eastAsia"/>
          <w:sz w:val="24"/>
          <w:szCs w:val="24"/>
          <w:lang w:val="zh-CN"/>
        </w:rPr>
        <w:t>中小</w:t>
      </w:r>
      <w:r w:rsidR="0090443D" w:rsidRPr="0090443D">
        <w:rPr>
          <w:rFonts w:eastAsiaTheme="minorEastAsia"/>
          <w:sz w:val="24"/>
          <w:szCs w:val="24"/>
          <w:lang w:val="zh-CN"/>
        </w:rPr>
        <w:t>股东提出的意见和建议，</w:t>
      </w:r>
      <w:r w:rsidR="00A54494">
        <w:rPr>
          <w:rFonts w:eastAsiaTheme="minorEastAsia" w:hint="eastAsia"/>
          <w:sz w:val="24"/>
          <w:szCs w:val="24"/>
          <w:lang w:val="zh-CN"/>
        </w:rPr>
        <w:t>下一步</w:t>
      </w:r>
      <w:r>
        <w:rPr>
          <w:rFonts w:eastAsiaTheme="minorEastAsia" w:hint="eastAsia"/>
          <w:sz w:val="24"/>
          <w:szCs w:val="24"/>
          <w:lang w:val="zh-CN"/>
        </w:rPr>
        <w:t>将</w:t>
      </w:r>
      <w:r w:rsidR="0090443D" w:rsidRPr="0090443D">
        <w:rPr>
          <w:rFonts w:eastAsiaTheme="minorEastAsia"/>
          <w:sz w:val="24"/>
          <w:szCs w:val="24"/>
          <w:lang w:val="zh-CN"/>
        </w:rPr>
        <w:t>梳理</w:t>
      </w:r>
      <w:r w:rsidR="00A54494">
        <w:rPr>
          <w:rFonts w:eastAsiaTheme="minorEastAsia" w:hint="eastAsia"/>
          <w:sz w:val="24"/>
          <w:szCs w:val="24"/>
          <w:lang w:val="zh-CN"/>
        </w:rPr>
        <w:t>公司情况</w:t>
      </w:r>
      <w:r w:rsidR="00A54494">
        <w:rPr>
          <w:rFonts w:eastAsiaTheme="minorEastAsia"/>
          <w:sz w:val="24"/>
          <w:szCs w:val="24"/>
          <w:lang w:val="zh-CN"/>
        </w:rPr>
        <w:t>，</w:t>
      </w:r>
      <w:r w:rsidR="00A54494">
        <w:rPr>
          <w:rFonts w:eastAsiaTheme="minorEastAsia" w:hint="eastAsia"/>
          <w:sz w:val="24"/>
          <w:szCs w:val="24"/>
          <w:lang w:val="zh-CN"/>
        </w:rPr>
        <w:t>如有</w:t>
      </w:r>
      <w:r w:rsidR="00A54494">
        <w:rPr>
          <w:rFonts w:eastAsiaTheme="minorEastAsia"/>
          <w:sz w:val="24"/>
          <w:szCs w:val="24"/>
          <w:lang w:val="zh-CN"/>
        </w:rPr>
        <w:t>其他</w:t>
      </w:r>
      <w:r w:rsidR="00A54494">
        <w:rPr>
          <w:rFonts w:eastAsiaTheme="minorEastAsia" w:hint="eastAsia"/>
          <w:sz w:val="24"/>
          <w:szCs w:val="24"/>
          <w:lang w:val="zh-CN"/>
        </w:rPr>
        <w:t>计划</w:t>
      </w:r>
      <w:r w:rsidR="00A54494">
        <w:rPr>
          <w:rFonts w:eastAsiaTheme="minorEastAsia"/>
          <w:sz w:val="24"/>
          <w:szCs w:val="24"/>
          <w:lang w:val="zh-CN"/>
        </w:rPr>
        <w:t>将及时</w:t>
      </w:r>
      <w:r w:rsidR="00A54494">
        <w:rPr>
          <w:rFonts w:eastAsiaTheme="minorEastAsia" w:hint="eastAsia"/>
          <w:sz w:val="24"/>
          <w:szCs w:val="24"/>
          <w:lang w:val="zh-CN"/>
        </w:rPr>
        <w:t>进行</w:t>
      </w:r>
      <w:r w:rsidR="00A54494">
        <w:rPr>
          <w:rFonts w:eastAsiaTheme="minorEastAsia"/>
          <w:sz w:val="24"/>
          <w:szCs w:val="24"/>
          <w:lang w:val="zh-CN"/>
        </w:rPr>
        <w:t>信息披露</w:t>
      </w:r>
      <w:r w:rsidR="0090443D" w:rsidRPr="0090443D">
        <w:rPr>
          <w:rFonts w:eastAsiaTheme="minorEastAsia"/>
          <w:sz w:val="24"/>
          <w:szCs w:val="24"/>
          <w:lang w:val="zh-CN"/>
        </w:rPr>
        <w:t>。</w:t>
      </w:r>
    </w:p>
    <w:p w:rsidR="008B6231" w:rsidRPr="0090443D" w:rsidRDefault="008B6231">
      <w:pPr>
        <w:pStyle w:val="a6"/>
        <w:ind w:firstLine="283"/>
        <w:rPr>
          <w:rFonts w:eastAsiaTheme="minorEastAsia"/>
          <w:sz w:val="24"/>
          <w:szCs w:val="24"/>
          <w:lang w:val="zh-CN"/>
        </w:rPr>
      </w:pPr>
    </w:p>
    <w:p w:rsidR="00592785" w:rsidRDefault="00CC6139">
      <w:pPr>
        <w:pStyle w:val="a6"/>
        <w:ind w:firstLine="283"/>
        <w:rPr>
          <w:rFonts w:ascii="宋体" w:eastAsia="PMingLiU" w:hAnsi="宋体"/>
          <w:sz w:val="24"/>
          <w:szCs w:val="24"/>
          <w:lang w:val="zh-TW" w:eastAsia="zh-TW"/>
        </w:rPr>
      </w:pPr>
      <w:r w:rsidRPr="00E67C76">
        <w:rPr>
          <w:rFonts w:ascii="宋体" w:eastAsia="宋体" w:hAnsi="宋体"/>
          <w:sz w:val="24"/>
          <w:szCs w:val="24"/>
          <w:lang w:val="zh-TW" w:eastAsia="zh-TW"/>
        </w:rPr>
        <w:t>3.</w:t>
      </w:r>
      <w:r w:rsidRPr="00E67C76">
        <w:rPr>
          <w:rFonts w:ascii="宋体" w:eastAsia="宋体" w:hAnsi="宋体"/>
          <w:sz w:val="24"/>
          <w:szCs w:val="24"/>
          <w:lang w:val="zh-CN"/>
        </w:rPr>
        <w:t xml:space="preserve">2 </w:t>
      </w:r>
      <w:r w:rsidRPr="00E67C76">
        <w:rPr>
          <w:rFonts w:ascii="宋体" w:eastAsia="宋体" w:hAnsi="宋体" w:hint="eastAsia"/>
          <w:sz w:val="24"/>
          <w:szCs w:val="24"/>
          <w:lang w:val="zh-TW" w:eastAsia="zh-TW"/>
        </w:rPr>
        <w:t>蛋氨酸</w:t>
      </w:r>
      <w:r w:rsidR="00E67C76">
        <w:rPr>
          <w:rFonts w:ascii="宋体" w:eastAsia="宋体" w:hAnsi="宋体" w:hint="eastAsia"/>
          <w:sz w:val="24"/>
          <w:szCs w:val="24"/>
          <w:lang w:val="zh-TW" w:eastAsia="zh-TW"/>
        </w:rPr>
        <w:t>的市场需求、销售增长率和未来市场前景</w:t>
      </w:r>
    </w:p>
    <w:p w:rsidR="008B6231" w:rsidRDefault="008B6231" w:rsidP="00A54494">
      <w:pPr>
        <w:pStyle w:val="a6"/>
        <w:ind w:firstLine="283"/>
        <w:rPr>
          <w:rFonts w:eastAsiaTheme="minorEastAsia"/>
          <w:sz w:val="24"/>
          <w:szCs w:val="24"/>
          <w:lang w:val="zh-CN"/>
        </w:rPr>
      </w:pPr>
      <w:r>
        <w:rPr>
          <w:rFonts w:eastAsiaTheme="minorEastAsia" w:hint="eastAsia"/>
          <w:sz w:val="24"/>
          <w:szCs w:val="24"/>
          <w:lang w:val="zh-CN"/>
        </w:rPr>
        <w:t>2019</w:t>
      </w:r>
      <w:r>
        <w:rPr>
          <w:rFonts w:eastAsiaTheme="minorEastAsia" w:hint="eastAsia"/>
          <w:sz w:val="24"/>
          <w:szCs w:val="24"/>
          <w:lang w:val="zh-CN"/>
        </w:rPr>
        <w:t>年</w:t>
      </w:r>
      <w:r>
        <w:rPr>
          <w:rFonts w:eastAsiaTheme="minorEastAsia"/>
          <w:sz w:val="24"/>
          <w:szCs w:val="24"/>
          <w:lang w:val="zh-CN"/>
        </w:rPr>
        <w:t>第二季度，</w:t>
      </w:r>
      <w:r w:rsidR="00A54494" w:rsidRPr="00A54494">
        <w:rPr>
          <w:rFonts w:eastAsiaTheme="minorEastAsia" w:hint="cs"/>
          <w:sz w:val="24"/>
          <w:szCs w:val="24"/>
          <w:lang w:val="zh-CN"/>
        </w:rPr>
        <w:t>液体蛋氨酸销量保持增长，特别是中国市场销量大幅增长</w:t>
      </w:r>
      <w:r w:rsidR="00A54494" w:rsidRPr="00A54494">
        <w:rPr>
          <w:rFonts w:eastAsiaTheme="minorEastAsia"/>
          <w:sz w:val="24"/>
          <w:szCs w:val="24"/>
          <w:lang w:val="zh-CN"/>
        </w:rPr>
        <w:t>24%</w:t>
      </w:r>
      <w:r w:rsidR="00A54494">
        <w:rPr>
          <w:rFonts w:eastAsiaTheme="minorEastAsia" w:hint="eastAsia"/>
          <w:sz w:val="24"/>
          <w:szCs w:val="24"/>
          <w:lang w:val="zh-CN"/>
        </w:rPr>
        <w:t>；</w:t>
      </w:r>
      <w:r w:rsidR="000B7632">
        <w:rPr>
          <w:rFonts w:eastAsiaTheme="minorEastAsia" w:hint="eastAsia"/>
          <w:sz w:val="24"/>
          <w:szCs w:val="24"/>
          <w:lang w:val="zh-CN"/>
        </w:rPr>
        <w:t>这</w:t>
      </w:r>
      <w:bookmarkStart w:id="0" w:name="_GoBack"/>
      <w:bookmarkEnd w:id="0"/>
      <w:r w:rsidR="00A54494" w:rsidRPr="00A54494">
        <w:rPr>
          <w:rFonts w:eastAsiaTheme="minorEastAsia" w:hint="eastAsia"/>
          <w:sz w:val="24"/>
          <w:szCs w:val="24"/>
          <w:lang w:val="zh-CN"/>
        </w:rPr>
        <w:t>来自于终端需求的增加，同时固体蛋氨酸转为液体蛋氨酸的比率也进一步提升了产品销量。</w:t>
      </w:r>
    </w:p>
    <w:p w:rsidR="00A54494" w:rsidRDefault="00A54494" w:rsidP="00A54494">
      <w:pPr>
        <w:pStyle w:val="a6"/>
        <w:ind w:firstLine="283"/>
        <w:rPr>
          <w:rFonts w:eastAsiaTheme="minorEastAsia"/>
          <w:sz w:val="24"/>
          <w:szCs w:val="24"/>
          <w:lang w:val="zh-CN"/>
        </w:rPr>
      </w:pPr>
      <w:r w:rsidRPr="00A54494">
        <w:rPr>
          <w:rFonts w:eastAsiaTheme="minorEastAsia" w:hint="eastAsia"/>
          <w:sz w:val="24"/>
          <w:szCs w:val="24"/>
          <w:lang w:val="zh-CN"/>
        </w:rPr>
        <w:t>在</w:t>
      </w:r>
      <w:r w:rsidR="008B6231">
        <w:rPr>
          <w:rFonts w:eastAsiaTheme="minorEastAsia" w:hint="eastAsia"/>
          <w:sz w:val="24"/>
          <w:szCs w:val="24"/>
          <w:lang w:val="zh-CN"/>
        </w:rPr>
        <w:t>19</w:t>
      </w:r>
      <w:r w:rsidR="008B6231">
        <w:rPr>
          <w:rFonts w:eastAsiaTheme="minorEastAsia" w:hint="eastAsia"/>
          <w:sz w:val="24"/>
          <w:szCs w:val="24"/>
          <w:lang w:val="zh-CN"/>
        </w:rPr>
        <w:t>年</w:t>
      </w:r>
      <w:r w:rsidRPr="00A54494">
        <w:rPr>
          <w:rFonts w:eastAsiaTheme="minorEastAsia"/>
          <w:sz w:val="24"/>
          <w:szCs w:val="24"/>
          <w:lang w:val="zh-CN"/>
        </w:rPr>
        <w:t>4</w:t>
      </w:r>
      <w:r w:rsidRPr="00A54494">
        <w:rPr>
          <w:rFonts w:eastAsiaTheme="minorEastAsia" w:hint="eastAsia"/>
          <w:sz w:val="24"/>
          <w:szCs w:val="24"/>
          <w:lang w:val="zh-CN"/>
        </w:rPr>
        <w:t>月</w:t>
      </w:r>
      <w:r w:rsidR="008B6231">
        <w:rPr>
          <w:rFonts w:eastAsiaTheme="minorEastAsia" w:hint="eastAsia"/>
          <w:sz w:val="24"/>
          <w:szCs w:val="24"/>
          <w:lang w:val="zh-CN"/>
        </w:rPr>
        <w:t>商务部</w:t>
      </w:r>
      <w:r w:rsidRPr="00A54494">
        <w:rPr>
          <w:rFonts w:eastAsiaTheme="minorEastAsia" w:hint="eastAsia"/>
          <w:sz w:val="24"/>
          <w:szCs w:val="24"/>
          <w:lang w:val="zh-CN"/>
        </w:rPr>
        <w:t>宣布反倾销调查后，</w:t>
      </w:r>
      <w:r>
        <w:rPr>
          <w:rFonts w:eastAsiaTheme="minorEastAsia" w:hint="eastAsia"/>
          <w:sz w:val="24"/>
          <w:szCs w:val="24"/>
          <w:lang w:val="zh-CN"/>
        </w:rPr>
        <w:t>蛋氨酸</w:t>
      </w:r>
      <w:r w:rsidR="008B6231">
        <w:rPr>
          <w:rFonts w:eastAsiaTheme="minorEastAsia" w:hint="eastAsia"/>
          <w:sz w:val="24"/>
          <w:szCs w:val="24"/>
          <w:lang w:val="zh-CN"/>
        </w:rPr>
        <w:t>的</w:t>
      </w:r>
      <w:r>
        <w:rPr>
          <w:rFonts w:eastAsiaTheme="minorEastAsia" w:hint="eastAsia"/>
          <w:sz w:val="24"/>
          <w:szCs w:val="24"/>
          <w:lang w:val="zh-CN"/>
        </w:rPr>
        <w:t>价格</w:t>
      </w:r>
      <w:r w:rsidRPr="00A54494">
        <w:rPr>
          <w:rFonts w:eastAsiaTheme="minorEastAsia" w:hint="eastAsia"/>
          <w:sz w:val="24"/>
          <w:szCs w:val="24"/>
          <w:lang w:val="zh-CN"/>
        </w:rPr>
        <w:t>有所提升，使国内均价略高于亚太区报价。目前</w:t>
      </w:r>
      <w:r w:rsidR="008B6231">
        <w:rPr>
          <w:rFonts w:eastAsiaTheme="minorEastAsia" w:hint="eastAsia"/>
          <w:sz w:val="24"/>
          <w:szCs w:val="24"/>
          <w:lang w:val="zh-CN"/>
        </w:rPr>
        <w:t>，</w:t>
      </w:r>
      <w:r w:rsidRPr="00A54494">
        <w:rPr>
          <w:rFonts w:eastAsiaTheme="minorEastAsia" w:hint="eastAsia"/>
          <w:sz w:val="24"/>
          <w:szCs w:val="24"/>
          <w:lang w:val="zh-CN"/>
        </w:rPr>
        <w:t>液体蛋氨酸在中国的渗透率不足</w:t>
      </w:r>
      <w:r w:rsidRPr="00A54494">
        <w:rPr>
          <w:rFonts w:eastAsiaTheme="minorEastAsia"/>
          <w:sz w:val="24"/>
          <w:szCs w:val="24"/>
          <w:lang w:val="zh-CN"/>
        </w:rPr>
        <w:t>30%</w:t>
      </w:r>
      <w:r w:rsidRPr="00A54494">
        <w:rPr>
          <w:rFonts w:eastAsiaTheme="minorEastAsia" w:hint="eastAsia"/>
          <w:sz w:val="24"/>
          <w:szCs w:val="24"/>
          <w:lang w:val="zh-CN"/>
        </w:rPr>
        <w:t>，对比</w:t>
      </w:r>
      <w:r w:rsidR="008B6231">
        <w:rPr>
          <w:rFonts w:eastAsiaTheme="minorEastAsia" w:hint="eastAsia"/>
          <w:sz w:val="24"/>
          <w:szCs w:val="24"/>
          <w:lang w:val="zh-CN"/>
        </w:rPr>
        <w:t>部分</w:t>
      </w:r>
      <w:r w:rsidRPr="00A54494">
        <w:rPr>
          <w:rFonts w:eastAsiaTheme="minorEastAsia" w:hint="eastAsia"/>
          <w:sz w:val="24"/>
          <w:szCs w:val="24"/>
          <w:lang w:val="zh-CN"/>
        </w:rPr>
        <w:t>发达国家</w:t>
      </w:r>
      <w:r w:rsidRPr="00A54494">
        <w:rPr>
          <w:rFonts w:eastAsiaTheme="minorEastAsia"/>
          <w:sz w:val="24"/>
          <w:szCs w:val="24"/>
          <w:lang w:val="zh-CN"/>
        </w:rPr>
        <w:t>50%</w:t>
      </w:r>
      <w:r w:rsidRPr="00A54494">
        <w:rPr>
          <w:rFonts w:eastAsiaTheme="minorEastAsia" w:hint="eastAsia"/>
          <w:sz w:val="24"/>
          <w:szCs w:val="24"/>
          <w:lang w:val="zh-CN"/>
        </w:rPr>
        <w:t>的渗透率，还有很大的提升空间。</w:t>
      </w:r>
    </w:p>
    <w:p w:rsidR="00A54494" w:rsidRPr="00A54494" w:rsidRDefault="00A54494" w:rsidP="00A54494">
      <w:pPr>
        <w:pStyle w:val="a6"/>
        <w:ind w:firstLine="283"/>
        <w:rPr>
          <w:rFonts w:eastAsiaTheme="minorEastAsia"/>
          <w:sz w:val="24"/>
          <w:szCs w:val="24"/>
          <w:lang w:val="zh-CN"/>
        </w:rPr>
      </w:pPr>
      <w:r>
        <w:rPr>
          <w:rFonts w:eastAsiaTheme="minorEastAsia" w:hint="eastAsia"/>
          <w:sz w:val="24"/>
          <w:szCs w:val="24"/>
          <w:lang w:val="zh-CN"/>
        </w:rPr>
        <w:t>为了更好的推进液体蛋氨酸的销量增长，除继续保持公司</w:t>
      </w:r>
      <w:r w:rsidRPr="00A54494">
        <w:rPr>
          <w:rFonts w:eastAsiaTheme="minorEastAsia" w:hint="eastAsia"/>
          <w:sz w:val="24"/>
          <w:szCs w:val="24"/>
          <w:lang w:val="zh-CN"/>
        </w:rPr>
        <w:t>在成本上的竞争优势外，我们还对产品配套装置进行技术改进，降低</w:t>
      </w:r>
      <w:r>
        <w:rPr>
          <w:rFonts w:eastAsiaTheme="minorEastAsia" w:hint="eastAsia"/>
          <w:sz w:val="24"/>
          <w:szCs w:val="24"/>
          <w:lang w:val="zh-CN"/>
        </w:rPr>
        <w:t>客户</w:t>
      </w:r>
      <w:r w:rsidRPr="00A54494">
        <w:rPr>
          <w:rFonts w:eastAsiaTheme="minorEastAsia" w:hint="eastAsia"/>
          <w:sz w:val="24"/>
          <w:szCs w:val="24"/>
          <w:lang w:val="zh-CN"/>
        </w:rPr>
        <w:t>使用门槛，以便能覆盖更大的客户群。此外我们还配有专业的营养技术团队，不仅提供</w:t>
      </w:r>
      <w:r w:rsidR="008F73AC" w:rsidRPr="008F73AC">
        <w:rPr>
          <w:rFonts w:eastAsiaTheme="minorEastAsia" w:hint="cs"/>
          <w:sz w:val="24"/>
          <w:szCs w:val="24"/>
          <w:lang w:val="zh-CN"/>
        </w:rPr>
        <w:t>实时响应</w:t>
      </w:r>
      <w:r w:rsidRPr="00A54494">
        <w:rPr>
          <w:rFonts w:eastAsiaTheme="minorEastAsia" w:hint="eastAsia"/>
          <w:sz w:val="24"/>
          <w:szCs w:val="24"/>
          <w:lang w:val="zh-CN"/>
        </w:rPr>
        <w:t>的服务支持，还为客户提供饲料配比的咨询服务，方便客户实时掌握产品使用情况。</w:t>
      </w:r>
    </w:p>
    <w:p w:rsidR="00E05D97" w:rsidRDefault="00A54494" w:rsidP="00A54494">
      <w:pPr>
        <w:pStyle w:val="a6"/>
        <w:ind w:firstLine="283"/>
        <w:rPr>
          <w:rFonts w:eastAsiaTheme="minorEastAsia"/>
          <w:sz w:val="24"/>
          <w:szCs w:val="24"/>
          <w:lang w:val="zh-CN"/>
        </w:rPr>
      </w:pPr>
      <w:r w:rsidRPr="00A54494">
        <w:rPr>
          <w:rFonts w:eastAsiaTheme="minorEastAsia" w:hint="eastAsia"/>
          <w:sz w:val="24"/>
          <w:szCs w:val="24"/>
          <w:lang w:val="zh-CN"/>
        </w:rPr>
        <w:t>对于安迪苏的未来市场发展，我们认为新兴市场的主要驱动力来源于人口数量</w:t>
      </w:r>
      <w:r w:rsidR="008B6231">
        <w:rPr>
          <w:rFonts w:eastAsiaTheme="minorEastAsia" w:hint="eastAsia"/>
          <w:sz w:val="24"/>
          <w:szCs w:val="24"/>
          <w:lang w:val="zh-CN"/>
        </w:rPr>
        <w:t>、国民经济提升以及居民收入上涨带来的饮食消费转型。从此推算，公司</w:t>
      </w:r>
      <w:r w:rsidRPr="00A54494">
        <w:rPr>
          <w:rFonts w:eastAsiaTheme="minorEastAsia" w:hint="eastAsia"/>
          <w:sz w:val="24"/>
          <w:szCs w:val="24"/>
          <w:lang w:val="zh-CN"/>
        </w:rPr>
        <w:t>认为东南亚，特别是印度地区，非洲和一带一路沿线国家会是下一个需求增长</w:t>
      </w:r>
      <w:r w:rsidRPr="00A54494">
        <w:rPr>
          <w:rFonts w:eastAsiaTheme="minorEastAsia" w:hint="eastAsia"/>
          <w:sz w:val="24"/>
          <w:szCs w:val="24"/>
          <w:lang w:val="zh-CN"/>
        </w:rPr>
        <w:lastRenderedPageBreak/>
        <w:t>点。</w:t>
      </w:r>
    </w:p>
    <w:p w:rsidR="008B6231" w:rsidRPr="00A54494" w:rsidRDefault="008B6231" w:rsidP="00A54494">
      <w:pPr>
        <w:pStyle w:val="a6"/>
        <w:ind w:firstLine="283"/>
        <w:rPr>
          <w:rFonts w:eastAsiaTheme="minorEastAsia"/>
          <w:sz w:val="24"/>
          <w:szCs w:val="24"/>
          <w:lang w:val="zh-CN"/>
        </w:rPr>
      </w:pPr>
    </w:p>
    <w:p w:rsidR="00592785" w:rsidRPr="00E67C76" w:rsidRDefault="00CC6139">
      <w:pPr>
        <w:pStyle w:val="a6"/>
        <w:ind w:firstLine="283"/>
        <w:rPr>
          <w:rFonts w:ascii="宋体" w:eastAsia="宋体" w:hAnsi="宋体" w:cs="Lantinghei SC Extralight"/>
          <w:sz w:val="24"/>
          <w:szCs w:val="24"/>
          <w:lang w:val="zh-TW" w:eastAsia="zh-TW"/>
        </w:rPr>
      </w:pPr>
      <w:r w:rsidRPr="00E67C76">
        <w:rPr>
          <w:rFonts w:ascii="宋体" w:eastAsia="宋体" w:hAnsi="宋体"/>
          <w:sz w:val="24"/>
          <w:szCs w:val="24"/>
          <w:lang w:val="zh-TW" w:eastAsia="zh-TW"/>
        </w:rPr>
        <w:t>3.</w:t>
      </w:r>
      <w:r w:rsidRPr="00E67C76">
        <w:rPr>
          <w:rFonts w:ascii="宋体" w:eastAsia="宋体" w:hAnsi="宋体"/>
          <w:sz w:val="24"/>
          <w:szCs w:val="24"/>
          <w:lang w:val="zh-CN"/>
        </w:rPr>
        <w:t xml:space="preserve">3 </w:t>
      </w:r>
      <w:r w:rsidRPr="00E67C76">
        <w:rPr>
          <w:rFonts w:ascii="宋体" w:eastAsia="宋体" w:hAnsi="宋体" w:hint="eastAsia"/>
          <w:sz w:val="24"/>
          <w:szCs w:val="24"/>
          <w:lang w:val="zh-TW" w:eastAsia="zh-TW"/>
        </w:rPr>
        <w:t>特种产品</w:t>
      </w:r>
      <w:r w:rsidR="00E67C76">
        <w:rPr>
          <w:rFonts w:ascii="宋体" w:eastAsia="宋体" w:hAnsi="宋体" w:hint="eastAsia"/>
          <w:sz w:val="24"/>
          <w:szCs w:val="24"/>
          <w:lang w:val="zh-TW" w:eastAsia="zh-TW"/>
        </w:rPr>
        <w:t>的发展现状和产品定价模式</w:t>
      </w:r>
    </w:p>
    <w:p w:rsidR="008B6231" w:rsidRPr="000B7632" w:rsidRDefault="00A54494" w:rsidP="000B7632">
      <w:pPr>
        <w:pStyle w:val="a6"/>
        <w:ind w:firstLine="284"/>
        <w:rPr>
          <w:rFonts w:eastAsiaTheme="minorEastAsia" w:hint="eastAsia"/>
          <w:sz w:val="24"/>
          <w:szCs w:val="24"/>
          <w:lang w:val="zh-CN"/>
        </w:rPr>
      </w:pPr>
      <w:r w:rsidRPr="00A54494">
        <w:rPr>
          <w:rFonts w:eastAsiaTheme="minorEastAsia" w:hint="eastAsia"/>
          <w:sz w:val="24"/>
          <w:szCs w:val="24"/>
          <w:lang w:val="zh-CN"/>
        </w:rPr>
        <w:t>在北美推广两种新产品，作为现有产品线的补充：一种新型蛋氨酸产品：</w:t>
      </w:r>
      <w:r w:rsidRPr="00A54494">
        <w:rPr>
          <w:rFonts w:eastAsiaTheme="minorEastAsia"/>
          <w:sz w:val="24"/>
          <w:szCs w:val="24"/>
          <w:lang w:val="zh-CN"/>
        </w:rPr>
        <w:t>RumenSmart®</w:t>
      </w:r>
      <w:r w:rsidRPr="00A54494">
        <w:rPr>
          <w:rFonts w:eastAsiaTheme="minorEastAsia" w:hint="eastAsia"/>
          <w:sz w:val="24"/>
          <w:szCs w:val="24"/>
          <w:lang w:val="zh-CN"/>
        </w:rPr>
        <w:t>；另一种为反刍保护型赖氨酸，斯</w:t>
      </w:r>
      <w:proofErr w:type="gramStart"/>
      <w:r w:rsidRPr="00A54494">
        <w:rPr>
          <w:rFonts w:eastAsiaTheme="minorEastAsia" w:hint="eastAsia"/>
          <w:sz w:val="24"/>
          <w:szCs w:val="24"/>
          <w:lang w:val="zh-CN"/>
        </w:rPr>
        <w:t>特</w:t>
      </w:r>
      <w:proofErr w:type="gramEnd"/>
      <w:r w:rsidRPr="00A54494">
        <w:rPr>
          <w:rFonts w:eastAsiaTheme="minorEastAsia" w:hint="eastAsia"/>
          <w:sz w:val="24"/>
          <w:szCs w:val="24"/>
          <w:lang w:val="zh-CN"/>
        </w:rPr>
        <w:t>敏</w:t>
      </w:r>
      <w:r w:rsidRPr="00A54494">
        <w:rPr>
          <w:rFonts w:eastAsiaTheme="minorEastAsia"/>
          <w:sz w:val="24"/>
          <w:szCs w:val="24"/>
          <w:lang w:val="zh-CN"/>
        </w:rPr>
        <w:t xml:space="preserve">® ML </w:t>
      </w:r>
      <w:r w:rsidRPr="00A54494">
        <w:rPr>
          <w:rFonts w:eastAsiaTheme="minorEastAsia" w:hint="eastAsia"/>
          <w:sz w:val="24"/>
          <w:szCs w:val="24"/>
          <w:lang w:val="zh-CN"/>
        </w:rPr>
        <w:t>将会应用一种与斯特敏</w:t>
      </w:r>
      <w:r w:rsidRPr="00A54494">
        <w:rPr>
          <w:rFonts w:eastAsiaTheme="minorEastAsia"/>
          <w:sz w:val="24"/>
          <w:szCs w:val="24"/>
          <w:lang w:val="zh-CN"/>
        </w:rPr>
        <w:t xml:space="preserve">® M </w:t>
      </w:r>
      <w:r w:rsidRPr="00A54494">
        <w:rPr>
          <w:rFonts w:eastAsiaTheme="minorEastAsia" w:hint="eastAsia"/>
          <w:sz w:val="24"/>
          <w:szCs w:val="24"/>
          <w:lang w:val="zh-CN"/>
        </w:rPr>
        <w:t>同样的包被技术，而</w:t>
      </w:r>
      <w:proofErr w:type="gramStart"/>
      <w:r w:rsidRPr="00A54494">
        <w:rPr>
          <w:rFonts w:eastAsiaTheme="minorEastAsia" w:hint="eastAsia"/>
          <w:sz w:val="24"/>
          <w:szCs w:val="24"/>
          <w:lang w:val="zh-CN"/>
        </w:rPr>
        <w:t>该独</w:t>
      </w:r>
      <w:proofErr w:type="gramEnd"/>
      <w:r w:rsidRPr="00A54494">
        <w:rPr>
          <w:rFonts w:eastAsiaTheme="minorEastAsia" w:hint="eastAsia"/>
          <w:sz w:val="24"/>
          <w:szCs w:val="24"/>
          <w:lang w:val="zh-CN"/>
        </w:rPr>
        <w:t>特技术已使斯特敏</w:t>
      </w:r>
      <w:r w:rsidRPr="00A54494">
        <w:rPr>
          <w:rFonts w:eastAsiaTheme="minorEastAsia"/>
          <w:sz w:val="24"/>
          <w:szCs w:val="24"/>
          <w:lang w:val="zh-CN"/>
        </w:rPr>
        <w:t xml:space="preserve">® M </w:t>
      </w:r>
      <w:r w:rsidRPr="00A54494">
        <w:rPr>
          <w:rFonts w:eastAsiaTheme="minorEastAsia" w:hint="eastAsia"/>
          <w:sz w:val="24"/>
          <w:szCs w:val="24"/>
          <w:lang w:val="zh-CN"/>
        </w:rPr>
        <w:t>获得巨大成功。这些新产品将进一步丰富安迪苏的产品组合并增强其氨基酸</w:t>
      </w:r>
      <w:r w:rsidRPr="008B6231">
        <w:rPr>
          <w:rFonts w:eastAsiaTheme="minorEastAsia" w:hint="eastAsia"/>
          <w:sz w:val="24"/>
          <w:szCs w:val="24"/>
          <w:lang w:val="zh-CN"/>
        </w:rPr>
        <w:t>营养平衡解决方案的能力</w:t>
      </w:r>
      <w:r w:rsidR="000B7632">
        <w:rPr>
          <w:rFonts w:eastAsiaTheme="minorEastAsia" w:hint="eastAsia"/>
          <w:sz w:val="24"/>
          <w:szCs w:val="24"/>
          <w:lang w:val="zh-CN"/>
        </w:rPr>
        <w:t>。</w:t>
      </w:r>
    </w:p>
    <w:p w:rsidR="00A54494" w:rsidRPr="00A54494" w:rsidRDefault="008B6231" w:rsidP="008B6231">
      <w:pPr>
        <w:pStyle w:val="a6"/>
        <w:ind w:firstLine="284"/>
        <w:rPr>
          <w:rFonts w:eastAsiaTheme="minorEastAsia"/>
          <w:sz w:val="24"/>
          <w:szCs w:val="24"/>
          <w:lang w:val="zh-CN"/>
        </w:rPr>
      </w:pPr>
      <w:r w:rsidRPr="008B6231">
        <w:rPr>
          <w:rFonts w:eastAsiaTheme="minorEastAsia" w:hint="eastAsia"/>
          <w:sz w:val="24"/>
          <w:szCs w:val="24"/>
          <w:lang w:val="zh-CN"/>
        </w:rPr>
        <w:t>反刍动物蛋氨酸的价格定价和一般蛋氨酸的区别：</w:t>
      </w:r>
      <w:r>
        <w:rPr>
          <w:rFonts w:eastAsiaTheme="minorEastAsia" w:hint="eastAsia"/>
          <w:sz w:val="24"/>
          <w:szCs w:val="24"/>
          <w:lang w:val="zh-CN"/>
        </w:rPr>
        <w:t>反刍</w:t>
      </w:r>
      <w:r>
        <w:rPr>
          <w:rFonts w:eastAsiaTheme="minorEastAsia"/>
          <w:sz w:val="24"/>
          <w:szCs w:val="24"/>
          <w:lang w:val="zh-CN"/>
        </w:rPr>
        <w:t>动物蛋氨酸的</w:t>
      </w:r>
      <w:r w:rsidRPr="008B6231">
        <w:rPr>
          <w:rFonts w:eastAsiaTheme="minorEastAsia" w:hint="eastAsia"/>
          <w:sz w:val="24"/>
          <w:szCs w:val="24"/>
          <w:lang w:val="zh-CN"/>
        </w:rPr>
        <w:t>价格主导因素不是供求关系：作为给客户提供额外价值的产品，安迪苏对产品拥有</w:t>
      </w:r>
      <w:r>
        <w:rPr>
          <w:rFonts w:eastAsiaTheme="minorEastAsia" w:hint="eastAsia"/>
          <w:sz w:val="24"/>
          <w:szCs w:val="24"/>
          <w:lang w:val="zh-CN"/>
        </w:rPr>
        <w:t>较强</w:t>
      </w:r>
      <w:r>
        <w:rPr>
          <w:rFonts w:eastAsiaTheme="minorEastAsia"/>
          <w:sz w:val="24"/>
          <w:szCs w:val="24"/>
          <w:lang w:val="zh-CN"/>
        </w:rPr>
        <w:t>的</w:t>
      </w:r>
      <w:r>
        <w:rPr>
          <w:rFonts w:eastAsiaTheme="minorEastAsia" w:hint="eastAsia"/>
          <w:sz w:val="24"/>
          <w:szCs w:val="24"/>
          <w:lang w:val="zh-CN"/>
        </w:rPr>
        <w:t>定价权，</w:t>
      </w:r>
      <w:r>
        <w:rPr>
          <w:rFonts w:eastAsiaTheme="minorEastAsia"/>
          <w:sz w:val="24"/>
          <w:szCs w:val="24"/>
          <w:lang w:val="zh-CN"/>
        </w:rPr>
        <w:t>由于产品质量较高，</w:t>
      </w:r>
      <w:r>
        <w:rPr>
          <w:rFonts w:eastAsiaTheme="minorEastAsia" w:hint="eastAsia"/>
          <w:sz w:val="24"/>
          <w:szCs w:val="24"/>
          <w:lang w:val="zh-CN"/>
        </w:rPr>
        <w:t>得到</w:t>
      </w:r>
      <w:r>
        <w:rPr>
          <w:rFonts w:eastAsiaTheme="minorEastAsia"/>
          <w:sz w:val="24"/>
          <w:szCs w:val="24"/>
          <w:lang w:val="zh-CN"/>
        </w:rPr>
        <w:t>客户认可度较高，</w:t>
      </w:r>
      <w:r w:rsidRPr="008B6231">
        <w:rPr>
          <w:rFonts w:eastAsiaTheme="minorEastAsia" w:hint="eastAsia"/>
          <w:sz w:val="24"/>
          <w:szCs w:val="24"/>
          <w:lang w:val="zh-CN"/>
        </w:rPr>
        <w:t>整体</w:t>
      </w:r>
      <w:r>
        <w:rPr>
          <w:rFonts w:eastAsiaTheme="minorEastAsia" w:hint="eastAsia"/>
          <w:sz w:val="24"/>
          <w:szCs w:val="24"/>
          <w:lang w:val="zh-CN"/>
        </w:rPr>
        <w:t>也</w:t>
      </w:r>
      <w:r w:rsidRPr="008B6231">
        <w:rPr>
          <w:rFonts w:eastAsiaTheme="minorEastAsia" w:hint="eastAsia"/>
          <w:sz w:val="24"/>
          <w:szCs w:val="24"/>
          <w:lang w:val="zh-CN"/>
        </w:rPr>
        <w:t>拥有较高的毛利率。</w:t>
      </w:r>
      <w:r w:rsidR="00A54494" w:rsidRPr="00A54494">
        <w:rPr>
          <w:rFonts w:eastAsiaTheme="minorEastAsia"/>
          <w:sz w:val="24"/>
          <w:szCs w:val="24"/>
          <w:lang w:val="zh-CN"/>
        </w:rPr>
        <w:cr/>
      </w:r>
      <w:r w:rsidR="0090443D" w:rsidRPr="008B6231">
        <w:rPr>
          <w:rFonts w:eastAsiaTheme="minorEastAsia" w:hint="eastAsia"/>
          <w:sz w:val="24"/>
          <w:szCs w:val="24"/>
          <w:lang w:val="zh-CN"/>
        </w:rPr>
        <w:t xml:space="preserve">    </w:t>
      </w:r>
    </w:p>
    <w:p w:rsidR="00592785" w:rsidRPr="008B6231" w:rsidRDefault="00592785">
      <w:pPr>
        <w:pStyle w:val="a6"/>
        <w:ind w:left="510" w:hanging="227"/>
        <w:rPr>
          <w:rFonts w:eastAsiaTheme="minorEastAsia"/>
          <w:sz w:val="24"/>
          <w:szCs w:val="24"/>
          <w:lang w:val="zh-CN"/>
        </w:rPr>
      </w:pPr>
    </w:p>
    <w:sectPr w:rsidR="00592785" w:rsidRPr="008B6231">
      <w:headerReference w:type="default" r:id="rId6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FC5" w:rsidRDefault="004E7FC5">
      <w:pPr>
        <w:spacing w:after="0" w:line="240" w:lineRule="auto"/>
        <w:rPr>
          <w:rFonts w:hint="default"/>
        </w:rPr>
      </w:pPr>
      <w:r>
        <w:separator/>
      </w:r>
    </w:p>
  </w:endnote>
  <w:endnote w:type="continuationSeparator" w:id="0">
    <w:p w:rsidR="004E7FC5" w:rsidRDefault="004E7FC5">
      <w:pPr>
        <w:spacing w:after="0"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Lantinghei SC Demibold">
    <w:altName w:val="Cambria"/>
    <w:charset w:val="00"/>
    <w:family w:val="roman"/>
    <w:pitch w:val="default"/>
  </w:font>
  <w:font w:name="Lantinghei SC Extralight">
    <w:altName w:val="Cambria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FC5" w:rsidRDefault="004E7FC5">
      <w:pPr>
        <w:spacing w:after="0" w:line="240" w:lineRule="auto"/>
        <w:rPr>
          <w:rFonts w:hint="default"/>
        </w:rPr>
      </w:pPr>
      <w:r>
        <w:separator/>
      </w:r>
    </w:p>
  </w:footnote>
  <w:footnote w:type="continuationSeparator" w:id="0">
    <w:p w:rsidR="004E7FC5" w:rsidRDefault="004E7FC5">
      <w:pPr>
        <w:spacing w:after="0"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785" w:rsidRDefault="00CC6139">
    <w:pPr>
      <w:pStyle w:val="a4"/>
      <w:tabs>
        <w:tab w:val="clear" w:pos="8306"/>
        <w:tab w:val="right" w:pos="8280"/>
      </w:tabs>
      <w:rPr>
        <w:rFonts w:hint="default"/>
      </w:rPr>
    </w:pPr>
    <w:r>
      <w:rPr>
        <w:rFonts w:eastAsia="KaiTi"/>
        <w:lang w:val="zh-TW" w:eastAsia="zh-TW"/>
      </w:rPr>
      <w:t>蓝星安迪苏股份有限公司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785"/>
    <w:rsid w:val="00087880"/>
    <w:rsid w:val="000B7632"/>
    <w:rsid w:val="003757EC"/>
    <w:rsid w:val="004406C0"/>
    <w:rsid w:val="004C4CDD"/>
    <w:rsid w:val="004E7FC5"/>
    <w:rsid w:val="00592785"/>
    <w:rsid w:val="00844E9E"/>
    <w:rsid w:val="008B6231"/>
    <w:rsid w:val="008F73AC"/>
    <w:rsid w:val="0090443D"/>
    <w:rsid w:val="00A54494"/>
    <w:rsid w:val="00A97F50"/>
    <w:rsid w:val="00CC6139"/>
    <w:rsid w:val="00E05D97"/>
    <w:rsid w:val="00E67C76"/>
    <w:rsid w:val="00EA7297"/>
    <w:rsid w:val="00EE755B"/>
    <w:rsid w:val="00F3698C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4CB6D"/>
  <w15:docId w15:val="{C642DAA8-89DB-46FE-A474-7DD95CA2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Arial Unicode MS" w:eastAsia="Calibri" w:hAnsi="Arial Unicode MS" w:cs="Arial Unicode MS" w:hint="eastAsia"/>
      <w:color w:val="000000"/>
      <w:sz w:val="22"/>
      <w:szCs w:val="22"/>
      <w:u w:color="00000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pBdr>
        <w:bottom w:val="single" w:sz="6" w:space="0" w:color="000000"/>
      </w:pBdr>
      <w:tabs>
        <w:tab w:val="center" w:pos="4153"/>
        <w:tab w:val="right" w:pos="8306"/>
      </w:tabs>
      <w:spacing w:after="160"/>
      <w:jc w:val="center"/>
    </w:pPr>
    <w:rPr>
      <w:rFonts w:ascii="Arial Unicode MS" w:eastAsia="Calibri" w:hAnsi="Arial Unicode MS" w:cs="Arial Unicode MS" w:hint="eastAsia"/>
      <w:color w:val="000000"/>
      <w:sz w:val="18"/>
      <w:szCs w:val="18"/>
      <w:u w:color="000000"/>
      <w:lang w:val="fr-FR"/>
    </w:rPr>
  </w:style>
  <w:style w:type="paragraph" w:customStyle="1" w:styleId="a5">
    <w:name w:val="页眉与页脚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uiPriority w:val="99"/>
    <w:unhideWhenUsed/>
    <w:rsid w:val="000B763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B7632"/>
    <w:rPr>
      <w:rFonts w:ascii="Arial Unicode MS" w:eastAsia="Calibri" w:hAnsi="Arial Unicode MS" w:cs="Arial Unicode MS"/>
      <w:color w:val="000000"/>
      <w:sz w:val="18"/>
      <w:szCs w:val="18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Queenie, Liang</dc:creator>
  <cp:lastModifiedBy>Yuan, Gao</cp:lastModifiedBy>
  <cp:revision>4</cp:revision>
  <dcterms:created xsi:type="dcterms:W3CDTF">2019-08-12T00:29:00Z</dcterms:created>
  <dcterms:modified xsi:type="dcterms:W3CDTF">2019-08-12T08:47:00Z</dcterms:modified>
</cp:coreProperties>
</file>