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41" w:rsidRPr="00C52AF1" w:rsidRDefault="009C2641" w:rsidP="009C2641">
      <w:pPr>
        <w:spacing w:line="360" w:lineRule="auto"/>
        <w:jc w:val="center"/>
        <w:rPr>
          <w:rFonts w:ascii="黑体" w:eastAsia="黑体" w:hAnsi="黑体"/>
          <w:bCs/>
          <w:iCs/>
          <w:color w:val="000000"/>
          <w:sz w:val="32"/>
          <w:szCs w:val="32"/>
        </w:rPr>
      </w:pPr>
      <w:r w:rsidRPr="00C52AF1">
        <w:rPr>
          <w:rFonts w:ascii="黑体" w:eastAsia="黑体" w:hAnsi="黑体" w:hint="eastAsia"/>
          <w:bCs/>
          <w:iCs/>
          <w:color w:val="000000"/>
          <w:sz w:val="32"/>
          <w:szCs w:val="32"/>
        </w:rPr>
        <w:t>接待机构调研情况</w:t>
      </w:r>
    </w:p>
    <w:p w:rsidR="009C2641" w:rsidRPr="00C52AF1" w:rsidRDefault="009C2641" w:rsidP="009C2641">
      <w:pPr>
        <w:spacing w:line="360" w:lineRule="auto"/>
        <w:jc w:val="center"/>
        <w:rPr>
          <w:rFonts w:ascii="黑体" w:eastAsia="黑体" w:hAnsi="黑体"/>
          <w:bCs/>
          <w:iCs/>
          <w:color w:val="000000"/>
          <w:sz w:val="32"/>
          <w:szCs w:val="32"/>
        </w:rPr>
      </w:pPr>
    </w:p>
    <w:p w:rsidR="009C2641" w:rsidRPr="00C52AF1" w:rsidRDefault="009C2641" w:rsidP="00C52AF1">
      <w:pPr>
        <w:adjustRightInd w:val="0"/>
        <w:snapToGrid w:val="0"/>
        <w:spacing w:line="360" w:lineRule="auto"/>
        <w:rPr>
          <w:rFonts w:ascii="宋体" w:hAnsi="宋体"/>
          <w:bCs/>
          <w:iCs/>
          <w:color w:val="000000"/>
          <w:sz w:val="23"/>
          <w:szCs w:val="23"/>
        </w:rPr>
      </w:pPr>
      <w:r w:rsidRPr="00C52AF1">
        <w:rPr>
          <w:rFonts w:ascii="宋体" w:hAnsi="宋体" w:hint="eastAsia"/>
          <w:b/>
          <w:bCs/>
          <w:iCs/>
          <w:color w:val="000000"/>
          <w:sz w:val="23"/>
          <w:szCs w:val="23"/>
        </w:rPr>
        <w:t>时    间：</w:t>
      </w:r>
      <w:r w:rsidRPr="00C52AF1">
        <w:rPr>
          <w:rFonts w:ascii="宋体" w:hAnsi="宋体" w:hint="eastAsia"/>
          <w:bCs/>
          <w:iCs/>
          <w:color w:val="000000"/>
          <w:sz w:val="23"/>
          <w:szCs w:val="23"/>
        </w:rPr>
        <w:t>201</w:t>
      </w:r>
      <w:r w:rsidR="00DB4D74">
        <w:rPr>
          <w:rFonts w:ascii="宋体" w:hAnsi="宋体" w:hint="eastAsia"/>
          <w:bCs/>
          <w:iCs/>
          <w:color w:val="000000"/>
          <w:sz w:val="23"/>
          <w:szCs w:val="23"/>
        </w:rPr>
        <w:t>9</w:t>
      </w:r>
      <w:r w:rsidRPr="00C52AF1">
        <w:rPr>
          <w:rFonts w:ascii="宋体" w:hAnsi="宋体" w:hint="eastAsia"/>
          <w:bCs/>
          <w:iCs/>
          <w:color w:val="000000"/>
          <w:sz w:val="23"/>
          <w:szCs w:val="23"/>
        </w:rPr>
        <w:t>年</w:t>
      </w:r>
      <w:r w:rsidR="00DB4D74">
        <w:rPr>
          <w:rFonts w:ascii="宋体" w:hAnsi="宋体" w:hint="eastAsia"/>
          <w:bCs/>
          <w:iCs/>
          <w:color w:val="000000"/>
          <w:sz w:val="23"/>
          <w:szCs w:val="23"/>
        </w:rPr>
        <w:t>12</w:t>
      </w:r>
      <w:r w:rsidRPr="00C52AF1">
        <w:rPr>
          <w:rFonts w:ascii="宋体" w:hAnsi="宋体" w:hint="eastAsia"/>
          <w:bCs/>
          <w:iCs/>
          <w:color w:val="000000"/>
          <w:sz w:val="23"/>
          <w:szCs w:val="23"/>
        </w:rPr>
        <w:t>月</w:t>
      </w:r>
      <w:r w:rsidR="00DB4D74">
        <w:rPr>
          <w:rFonts w:ascii="宋体" w:hAnsi="宋体" w:hint="eastAsia"/>
          <w:bCs/>
          <w:iCs/>
          <w:color w:val="000000"/>
          <w:sz w:val="23"/>
          <w:szCs w:val="23"/>
        </w:rPr>
        <w:t>5</w:t>
      </w:r>
      <w:r w:rsidRPr="00C52AF1">
        <w:rPr>
          <w:rFonts w:ascii="宋体" w:hAnsi="宋体" w:hint="eastAsia"/>
          <w:bCs/>
          <w:iCs/>
          <w:color w:val="000000"/>
          <w:sz w:val="23"/>
          <w:szCs w:val="23"/>
        </w:rPr>
        <w:t>日</w:t>
      </w:r>
      <w:r w:rsidR="00DB4D74">
        <w:rPr>
          <w:rFonts w:ascii="宋体" w:hAnsi="宋体" w:hint="eastAsia"/>
          <w:bCs/>
          <w:iCs/>
          <w:color w:val="000000"/>
          <w:sz w:val="23"/>
          <w:szCs w:val="23"/>
        </w:rPr>
        <w:t>下</w:t>
      </w:r>
      <w:r w:rsidRPr="00C52AF1">
        <w:rPr>
          <w:rFonts w:ascii="宋体" w:hAnsi="宋体" w:hint="eastAsia"/>
          <w:bCs/>
          <w:iCs/>
          <w:color w:val="000000"/>
          <w:sz w:val="23"/>
          <w:szCs w:val="23"/>
        </w:rPr>
        <w:t>午</w:t>
      </w:r>
    </w:p>
    <w:p w:rsidR="002A346F" w:rsidRPr="00C52AF1" w:rsidRDefault="009C2641" w:rsidP="00C52AF1">
      <w:pPr>
        <w:adjustRightInd w:val="0"/>
        <w:snapToGrid w:val="0"/>
        <w:spacing w:line="360" w:lineRule="auto"/>
        <w:rPr>
          <w:rFonts w:ascii="宋体" w:hAnsi="宋体"/>
          <w:bCs/>
          <w:iCs/>
          <w:color w:val="000000"/>
          <w:sz w:val="23"/>
          <w:szCs w:val="23"/>
        </w:rPr>
      </w:pPr>
      <w:r w:rsidRPr="00C52AF1">
        <w:rPr>
          <w:rFonts w:ascii="宋体" w:hAnsi="宋体" w:hint="eastAsia"/>
          <w:b/>
          <w:bCs/>
          <w:iCs/>
          <w:color w:val="000000"/>
          <w:sz w:val="23"/>
          <w:szCs w:val="23"/>
        </w:rPr>
        <w:t>地    点：</w:t>
      </w:r>
      <w:r w:rsidRPr="00C52AF1">
        <w:rPr>
          <w:rFonts w:ascii="宋体" w:hAnsi="宋体" w:hint="eastAsia"/>
          <w:bCs/>
          <w:iCs/>
          <w:color w:val="000000"/>
          <w:sz w:val="23"/>
          <w:szCs w:val="23"/>
        </w:rPr>
        <w:t>公司会议室</w:t>
      </w:r>
    </w:p>
    <w:p w:rsidR="002A346F" w:rsidRPr="00DB4D74" w:rsidRDefault="009C2641" w:rsidP="00C52AF1">
      <w:pPr>
        <w:adjustRightInd w:val="0"/>
        <w:snapToGrid w:val="0"/>
        <w:spacing w:line="360" w:lineRule="auto"/>
        <w:rPr>
          <w:rFonts w:ascii="宋体" w:hAnsi="宋体"/>
          <w:bCs/>
          <w:iCs/>
          <w:color w:val="000000"/>
          <w:sz w:val="23"/>
          <w:szCs w:val="23"/>
        </w:rPr>
      </w:pPr>
      <w:r w:rsidRPr="00C52AF1">
        <w:rPr>
          <w:rFonts w:ascii="宋体" w:hAnsi="宋体" w:hint="eastAsia"/>
          <w:b/>
          <w:bCs/>
          <w:iCs/>
          <w:color w:val="000000"/>
          <w:sz w:val="23"/>
          <w:szCs w:val="23"/>
        </w:rPr>
        <w:t>调研人员：</w:t>
      </w:r>
      <w:r w:rsidR="00DB4D74" w:rsidRPr="00DB4D74">
        <w:rPr>
          <w:rFonts w:ascii="宋体" w:hAnsi="宋体" w:hint="eastAsia"/>
          <w:bCs/>
          <w:iCs/>
          <w:color w:val="000000"/>
          <w:sz w:val="23"/>
          <w:szCs w:val="23"/>
        </w:rPr>
        <w:t>华尔街见闻 李泉；国盛证券 吴星星；民生证券 唐骥；国海证券 张涵；</w:t>
      </w:r>
    </w:p>
    <w:p w:rsidR="00DB4D74" w:rsidRPr="00DB4D74" w:rsidRDefault="00DB4D74" w:rsidP="00C52AF1">
      <w:pPr>
        <w:adjustRightInd w:val="0"/>
        <w:snapToGrid w:val="0"/>
        <w:spacing w:line="360" w:lineRule="auto"/>
        <w:rPr>
          <w:rFonts w:ascii="宋体" w:hAnsi="宋体"/>
          <w:bCs/>
          <w:iCs/>
          <w:color w:val="000000"/>
          <w:sz w:val="23"/>
          <w:szCs w:val="23"/>
        </w:rPr>
      </w:pPr>
      <w:r w:rsidRPr="00DB4D74">
        <w:rPr>
          <w:rFonts w:ascii="宋体" w:hAnsi="宋体" w:hint="eastAsia"/>
          <w:bCs/>
          <w:iCs/>
          <w:color w:val="000000"/>
          <w:sz w:val="23"/>
          <w:szCs w:val="23"/>
        </w:rPr>
        <w:t xml:space="preserve">         天风证券 唐婕；申港证券 曹承安；宏信证券 孙瑱</w:t>
      </w:r>
    </w:p>
    <w:p w:rsidR="002A346F" w:rsidRDefault="009C2641" w:rsidP="00C52AF1">
      <w:pPr>
        <w:adjustRightInd w:val="0"/>
        <w:snapToGrid w:val="0"/>
        <w:spacing w:line="360" w:lineRule="auto"/>
        <w:rPr>
          <w:rFonts w:ascii="宋体" w:hAnsi="宋体"/>
          <w:bCs/>
          <w:iCs/>
          <w:color w:val="000000"/>
          <w:sz w:val="23"/>
          <w:szCs w:val="23"/>
        </w:rPr>
      </w:pPr>
      <w:r w:rsidRPr="00C52AF1">
        <w:rPr>
          <w:rFonts w:ascii="宋体" w:hAnsi="宋体" w:hint="eastAsia"/>
          <w:b/>
          <w:bCs/>
          <w:iCs/>
          <w:color w:val="000000"/>
          <w:sz w:val="23"/>
          <w:szCs w:val="23"/>
        </w:rPr>
        <w:t>接待人员：</w:t>
      </w:r>
      <w:r w:rsidR="00DB4D74">
        <w:rPr>
          <w:rFonts w:ascii="宋体" w:hAnsi="宋体" w:hint="eastAsia"/>
          <w:bCs/>
          <w:iCs/>
          <w:color w:val="000000"/>
          <w:sz w:val="23"/>
          <w:szCs w:val="23"/>
        </w:rPr>
        <w:t>董事、总经理 汪建平；董事、副总经理 王宏亮；副总经理 牛瑛山；</w:t>
      </w:r>
    </w:p>
    <w:p w:rsidR="00DB4D74" w:rsidRPr="00F77CE2" w:rsidRDefault="00DB4D74" w:rsidP="00C52AF1">
      <w:pPr>
        <w:adjustRightInd w:val="0"/>
        <w:snapToGrid w:val="0"/>
        <w:spacing w:line="360" w:lineRule="auto"/>
        <w:rPr>
          <w:rFonts w:ascii="宋体" w:hAnsi="宋体"/>
          <w:bCs/>
          <w:iCs/>
          <w:color w:val="000000"/>
          <w:sz w:val="23"/>
          <w:szCs w:val="23"/>
        </w:rPr>
      </w:pPr>
      <w:r>
        <w:rPr>
          <w:rFonts w:ascii="宋体" w:hAnsi="宋体" w:hint="eastAsia"/>
          <w:bCs/>
          <w:iCs/>
          <w:color w:val="000000"/>
          <w:sz w:val="23"/>
          <w:szCs w:val="23"/>
        </w:rPr>
        <w:t xml:space="preserve">          财务负责人 杨军；证券事务代表 吕赵震</w:t>
      </w:r>
    </w:p>
    <w:p w:rsidR="009C2641" w:rsidRPr="00C52AF1" w:rsidRDefault="009C2641" w:rsidP="00C52AF1">
      <w:pPr>
        <w:adjustRightInd w:val="0"/>
        <w:snapToGrid w:val="0"/>
        <w:spacing w:line="360" w:lineRule="auto"/>
        <w:rPr>
          <w:b/>
        </w:rPr>
      </w:pPr>
    </w:p>
    <w:p w:rsidR="00F77CE2" w:rsidRDefault="001F7DCA" w:rsidP="00E13F70">
      <w:pPr>
        <w:pStyle w:val="a9"/>
        <w:numPr>
          <w:ilvl w:val="0"/>
          <w:numId w:val="2"/>
        </w:numPr>
        <w:adjustRightInd w:val="0"/>
        <w:snapToGrid w:val="0"/>
        <w:spacing w:line="360" w:lineRule="auto"/>
        <w:ind w:firstLineChars="0"/>
        <w:rPr>
          <w:b/>
        </w:rPr>
      </w:pPr>
      <w:r w:rsidRPr="001F7DCA">
        <w:rPr>
          <w:b/>
        </w:rPr>
        <w:t>公司基本情况</w:t>
      </w:r>
      <w:r w:rsidRPr="001F7DCA">
        <w:rPr>
          <w:rFonts w:hint="eastAsia"/>
          <w:b/>
        </w:rPr>
        <w:t>、</w:t>
      </w:r>
      <w:r w:rsidRPr="001F7DCA">
        <w:rPr>
          <w:b/>
        </w:rPr>
        <w:t>产品</w:t>
      </w:r>
      <w:r w:rsidRPr="001F7DCA">
        <w:rPr>
          <w:rFonts w:hint="eastAsia"/>
          <w:b/>
        </w:rPr>
        <w:t>、</w:t>
      </w:r>
      <w:r w:rsidRPr="001F7DCA">
        <w:rPr>
          <w:b/>
        </w:rPr>
        <w:t>发展战略介绍</w:t>
      </w:r>
      <w:r w:rsidRPr="001F7DCA">
        <w:rPr>
          <w:rFonts w:hint="eastAsia"/>
          <w:b/>
        </w:rPr>
        <w:t>及企业宣传片观看。</w:t>
      </w:r>
    </w:p>
    <w:p w:rsidR="001F7DCA" w:rsidRPr="001F7DCA" w:rsidRDefault="001F7DCA" w:rsidP="001F7DCA">
      <w:pPr>
        <w:pStyle w:val="a9"/>
        <w:adjustRightInd w:val="0"/>
        <w:snapToGrid w:val="0"/>
        <w:spacing w:line="360" w:lineRule="auto"/>
        <w:ind w:firstLineChars="0" w:firstLine="426"/>
        <w:rPr>
          <w:b/>
        </w:rPr>
      </w:pPr>
    </w:p>
    <w:p w:rsidR="001F7DCA" w:rsidRPr="001F7DCA" w:rsidRDefault="00E13F70" w:rsidP="00E13F70">
      <w:pPr>
        <w:pStyle w:val="a9"/>
        <w:adjustRightInd w:val="0"/>
        <w:snapToGrid w:val="0"/>
        <w:spacing w:line="360" w:lineRule="auto"/>
        <w:ind w:left="426" w:firstLineChars="0" w:firstLine="0"/>
        <w:rPr>
          <w:b/>
        </w:rPr>
      </w:pPr>
      <w:r>
        <w:rPr>
          <w:rFonts w:hint="eastAsia"/>
          <w:b/>
        </w:rPr>
        <w:t>二、</w:t>
      </w:r>
      <w:r w:rsidR="001F7DCA">
        <w:rPr>
          <w:rFonts w:hint="eastAsia"/>
          <w:b/>
        </w:rPr>
        <w:t>交流环节</w:t>
      </w:r>
    </w:p>
    <w:p w:rsidR="00F77CE2" w:rsidRPr="008D0A6A" w:rsidRDefault="00F77CE2" w:rsidP="00D1136A">
      <w:pPr>
        <w:adjustRightInd w:val="0"/>
        <w:snapToGrid w:val="0"/>
        <w:spacing w:line="360" w:lineRule="auto"/>
        <w:ind w:firstLineChars="201" w:firstLine="424"/>
        <w:rPr>
          <w:rFonts w:asciiTheme="minorEastAsia" w:hAnsiTheme="minorEastAsia"/>
          <w:b/>
        </w:rPr>
      </w:pPr>
      <w:r w:rsidRPr="008D0A6A">
        <w:rPr>
          <w:rFonts w:asciiTheme="minorEastAsia" w:hAnsiTheme="minorEastAsia" w:hint="eastAsia"/>
          <w:b/>
        </w:rPr>
        <w:t>问:题1：</w:t>
      </w:r>
      <w:r w:rsidR="003F15C4" w:rsidRPr="008D0A6A">
        <w:rPr>
          <w:rFonts w:asciiTheme="minorEastAsia" w:hAnsiTheme="minorEastAsia" w:hint="eastAsia"/>
          <w:b/>
        </w:rPr>
        <w:t>最近公司董事会审议通过了将磺化医药及</w:t>
      </w:r>
      <w:proofErr w:type="gramStart"/>
      <w:r w:rsidR="003F15C4" w:rsidRPr="008D0A6A">
        <w:rPr>
          <w:rFonts w:asciiTheme="minorEastAsia" w:hAnsiTheme="minorEastAsia" w:hint="eastAsia"/>
          <w:b/>
        </w:rPr>
        <w:t>配套业务</w:t>
      </w:r>
      <w:proofErr w:type="gramEnd"/>
      <w:r w:rsidR="003F15C4" w:rsidRPr="008D0A6A">
        <w:rPr>
          <w:rFonts w:asciiTheme="minorEastAsia" w:hAnsiTheme="minorEastAsia" w:hint="eastAsia"/>
          <w:b/>
        </w:rPr>
        <w:t>重组的相关议案，请介绍一下磺化医药业务的具体情况。</w:t>
      </w:r>
    </w:p>
    <w:p w:rsidR="00F77CE2" w:rsidRPr="00E13F70" w:rsidRDefault="00A63DB3" w:rsidP="00E13F70">
      <w:pPr>
        <w:adjustRightInd w:val="0"/>
        <w:snapToGrid w:val="0"/>
        <w:spacing w:line="360" w:lineRule="auto"/>
        <w:ind w:firstLineChars="201" w:firstLine="422"/>
        <w:rPr>
          <w:rFonts w:asciiTheme="minorEastAsia" w:hAnsiTheme="minorEastAsia"/>
        </w:rPr>
      </w:pPr>
      <w:r w:rsidRPr="00E13F70">
        <w:rPr>
          <w:rFonts w:asciiTheme="minorEastAsia" w:hAnsiTheme="minorEastAsia" w:hint="eastAsia"/>
        </w:rPr>
        <w:t>答：</w:t>
      </w:r>
      <w:r w:rsidR="006C1A55" w:rsidRPr="00E13F70">
        <w:rPr>
          <w:rFonts w:asciiTheme="minorEastAsia" w:hAnsiTheme="minorEastAsia" w:hint="eastAsia"/>
        </w:rPr>
        <w:t>根据公司发展规划的需要，整合磺化医药产业资源，提升经营管理效率，浙江嘉化能源化工股份有限公司决定将磺化医药及</w:t>
      </w:r>
      <w:proofErr w:type="gramStart"/>
      <w:r w:rsidR="006C1A55" w:rsidRPr="00E13F70">
        <w:rPr>
          <w:rFonts w:asciiTheme="minorEastAsia" w:hAnsiTheme="minorEastAsia" w:hint="eastAsia"/>
        </w:rPr>
        <w:t>配套业务</w:t>
      </w:r>
      <w:proofErr w:type="gramEnd"/>
      <w:r w:rsidR="006C1A55" w:rsidRPr="00E13F70">
        <w:rPr>
          <w:rFonts w:asciiTheme="minorEastAsia" w:hAnsiTheme="minorEastAsia" w:hint="eastAsia"/>
        </w:rPr>
        <w:t>以2019年9月30日为基准日重组合并至全资子公司浙江嘉福新材料科技有限公司经营，包括公司主体内的磺化医药及</w:t>
      </w:r>
      <w:proofErr w:type="gramStart"/>
      <w:r w:rsidR="006C1A55" w:rsidRPr="00E13F70">
        <w:rPr>
          <w:rFonts w:asciiTheme="minorEastAsia" w:hAnsiTheme="minorEastAsia" w:hint="eastAsia"/>
        </w:rPr>
        <w:t>配套业务</w:t>
      </w:r>
      <w:proofErr w:type="gramEnd"/>
      <w:r w:rsidR="006C1A55" w:rsidRPr="00E13F70">
        <w:rPr>
          <w:rFonts w:asciiTheme="minorEastAsia" w:hAnsiTheme="minorEastAsia" w:hint="eastAsia"/>
        </w:rPr>
        <w:t>相关资产、负债及人员，以及持有的浙江嘉化新材料有限公司98.59%股权。</w:t>
      </w:r>
    </w:p>
    <w:p w:rsidR="006C1A55" w:rsidRPr="00E13F70" w:rsidRDefault="006C1A55" w:rsidP="00E13F70">
      <w:pPr>
        <w:adjustRightInd w:val="0"/>
        <w:snapToGrid w:val="0"/>
        <w:spacing w:line="360" w:lineRule="auto"/>
        <w:ind w:firstLineChars="201" w:firstLine="422"/>
        <w:rPr>
          <w:rFonts w:asciiTheme="minorEastAsia" w:hAnsiTheme="minorEastAsia"/>
        </w:rPr>
      </w:pPr>
      <w:r w:rsidRPr="00E13F70">
        <w:rPr>
          <w:rFonts w:asciiTheme="minorEastAsia" w:hAnsiTheme="minorEastAsia" w:hint="eastAsia"/>
        </w:rPr>
        <w:t>公司目前是国内技术最领先、全球具有规模优势的磺化医药系列产品生产商，该产品国内</w:t>
      </w:r>
      <w:proofErr w:type="gramStart"/>
      <w:r w:rsidRPr="00E13F70">
        <w:rPr>
          <w:rFonts w:asciiTheme="minorEastAsia" w:hAnsiTheme="minorEastAsia" w:hint="eastAsia"/>
        </w:rPr>
        <w:t>市占率高达</w:t>
      </w:r>
      <w:proofErr w:type="gramEnd"/>
      <w:r w:rsidRPr="00E13F70">
        <w:rPr>
          <w:rFonts w:asciiTheme="minorEastAsia" w:hAnsiTheme="minorEastAsia" w:hint="eastAsia"/>
        </w:rPr>
        <w:t>60%左右，毛利率高达60%</w:t>
      </w:r>
      <w:r w:rsidR="00E13F70" w:rsidRPr="00E13F70">
        <w:rPr>
          <w:rFonts w:asciiTheme="minorEastAsia" w:hAnsiTheme="minorEastAsia" w:hint="eastAsia"/>
        </w:rPr>
        <w:t>左右。磺化医药系列产品运营广泛，</w:t>
      </w:r>
      <w:r w:rsidRPr="00E13F70">
        <w:rPr>
          <w:rFonts w:asciiTheme="minorEastAsia" w:hAnsiTheme="minorEastAsia" w:hint="eastAsia"/>
        </w:rPr>
        <w:t>嘉化能源目前已经构建磺化医药系列产业树，</w:t>
      </w:r>
      <w:r w:rsidR="00E13F70" w:rsidRPr="00E13F70">
        <w:rPr>
          <w:rFonts w:asciiTheme="minorEastAsia" w:hAnsiTheme="minorEastAsia" w:hint="eastAsia"/>
        </w:rPr>
        <w:t>公司逐步加大下游产品的研发及投入</w:t>
      </w:r>
      <w:r w:rsidRPr="00E13F70">
        <w:rPr>
          <w:rFonts w:asciiTheme="minorEastAsia" w:hAnsiTheme="minorEastAsia" w:hint="eastAsia"/>
        </w:rPr>
        <w:t>。</w:t>
      </w:r>
    </w:p>
    <w:p w:rsidR="00E13F70" w:rsidRDefault="00E13F70" w:rsidP="006C1A55">
      <w:pPr>
        <w:adjustRightInd w:val="0"/>
        <w:snapToGrid w:val="0"/>
        <w:spacing w:line="360" w:lineRule="auto"/>
        <w:ind w:firstLineChars="201" w:firstLine="422"/>
        <w:rPr>
          <w:rFonts w:asciiTheme="minorEastAsia" w:hAnsiTheme="minorEastAsia"/>
        </w:rPr>
      </w:pPr>
    </w:p>
    <w:p w:rsidR="00E13F70" w:rsidRPr="008D0A6A" w:rsidRDefault="00E13F70" w:rsidP="00D1136A">
      <w:pPr>
        <w:adjustRightInd w:val="0"/>
        <w:snapToGrid w:val="0"/>
        <w:spacing w:line="360" w:lineRule="auto"/>
        <w:ind w:firstLineChars="201" w:firstLine="424"/>
        <w:rPr>
          <w:rFonts w:asciiTheme="minorEastAsia" w:hAnsiTheme="minorEastAsia"/>
          <w:b/>
        </w:rPr>
      </w:pPr>
      <w:r w:rsidRPr="008D0A6A">
        <w:rPr>
          <w:rFonts w:asciiTheme="minorEastAsia" w:hAnsiTheme="minorEastAsia" w:hint="eastAsia"/>
          <w:b/>
        </w:rPr>
        <w:t>问:题2：请介绍一下BA产品及磺化医药相关项目建设情况。</w:t>
      </w:r>
    </w:p>
    <w:p w:rsidR="00E13F70" w:rsidRPr="00E13F70" w:rsidRDefault="002549AD" w:rsidP="006C1A55">
      <w:pPr>
        <w:adjustRightInd w:val="0"/>
        <w:snapToGrid w:val="0"/>
        <w:spacing w:line="360" w:lineRule="auto"/>
        <w:ind w:firstLineChars="201" w:firstLine="422"/>
        <w:rPr>
          <w:rFonts w:asciiTheme="minorEastAsia" w:hAnsiTheme="minorEastAsia"/>
        </w:rPr>
      </w:pPr>
      <w:r>
        <w:rPr>
          <w:rFonts w:asciiTheme="minorEastAsia" w:hAnsiTheme="minorEastAsia" w:hint="eastAsia"/>
        </w:rPr>
        <w:t>答：</w:t>
      </w:r>
      <w:r w:rsidRPr="002549AD">
        <w:rPr>
          <w:rFonts w:asciiTheme="minorEastAsia" w:hAnsiTheme="minorEastAsia" w:hint="eastAsia"/>
        </w:rPr>
        <w:t>公司年产4,000吨</w:t>
      </w:r>
      <w:proofErr w:type="gramStart"/>
      <w:r w:rsidRPr="002549AD">
        <w:rPr>
          <w:rFonts w:asciiTheme="minorEastAsia" w:hAnsiTheme="minorEastAsia" w:hint="eastAsia"/>
        </w:rPr>
        <w:t>邻</w:t>
      </w:r>
      <w:proofErr w:type="gramEnd"/>
      <w:r w:rsidRPr="002549AD">
        <w:rPr>
          <w:rFonts w:asciiTheme="minorEastAsia" w:hAnsiTheme="minorEastAsia" w:hint="eastAsia"/>
        </w:rPr>
        <w:t>对位（BA）技术改造项目计划分两期实施，</w:t>
      </w:r>
      <w:r>
        <w:rPr>
          <w:rFonts w:asciiTheme="minorEastAsia" w:hAnsiTheme="minorEastAsia" w:hint="eastAsia"/>
        </w:rPr>
        <w:t>一起2</w:t>
      </w:r>
      <w:r w:rsidRPr="002549AD">
        <w:rPr>
          <w:rFonts w:asciiTheme="minorEastAsia" w:hAnsiTheme="minorEastAsia" w:hint="eastAsia"/>
        </w:rPr>
        <w:t>,000吨/</w:t>
      </w:r>
      <w:proofErr w:type="gramStart"/>
      <w:r w:rsidRPr="002549AD">
        <w:rPr>
          <w:rFonts w:asciiTheme="minorEastAsia" w:hAnsiTheme="minorEastAsia" w:hint="eastAsia"/>
        </w:rPr>
        <w:t>年邻对位</w:t>
      </w:r>
      <w:proofErr w:type="gramEnd"/>
      <w:r w:rsidRPr="002549AD">
        <w:rPr>
          <w:rFonts w:asciiTheme="minorEastAsia" w:hAnsiTheme="minorEastAsia" w:hint="eastAsia"/>
        </w:rPr>
        <w:t>（BA）一期主装置以及4,000吨/年的公共系统，并于2018年实现产业化投放市场。</w:t>
      </w:r>
      <w:r>
        <w:rPr>
          <w:rFonts w:asciiTheme="minorEastAsia" w:hAnsiTheme="minorEastAsia" w:hint="eastAsia"/>
        </w:rPr>
        <w:t>同时，今年3月公司董事会批准</w:t>
      </w:r>
      <w:r w:rsidRPr="002549AD">
        <w:rPr>
          <w:rFonts w:asciiTheme="minorEastAsia" w:hAnsiTheme="minorEastAsia" w:hint="eastAsia"/>
        </w:rPr>
        <w:t>投资建设4000吨/年BA项目（磺化产业安全环保提升项目）并配套建设三氧化硫连续磺化技改项目</w:t>
      </w:r>
      <w:r>
        <w:rPr>
          <w:rFonts w:asciiTheme="minorEastAsia" w:hAnsiTheme="minorEastAsia" w:hint="eastAsia"/>
        </w:rPr>
        <w:t>，</w:t>
      </w:r>
      <w:r w:rsidRPr="002549AD">
        <w:rPr>
          <w:rFonts w:asciiTheme="minorEastAsia" w:hAnsiTheme="minorEastAsia" w:hint="eastAsia"/>
        </w:rPr>
        <w:t>为进一步发展壮大磺化医药产业，拟采用先进技术，新建4000吨/年BA（邻硝基对甲</w:t>
      </w:r>
      <w:proofErr w:type="gramStart"/>
      <w:r w:rsidRPr="002549AD">
        <w:rPr>
          <w:rFonts w:asciiTheme="minorEastAsia" w:hAnsiTheme="minorEastAsia" w:hint="eastAsia"/>
        </w:rPr>
        <w:t>砜</w:t>
      </w:r>
      <w:proofErr w:type="gramEnd"/>
      <w:r w:rsidRPr="002549AD">
        <w:rPr>
          <w:rFonts w:asciiTheme="minorEastAsia" w:hAnsiTheme="minorEastAsia" w:hint="eastAsia"/>
        </w:rPr>
        <w:t>基苯甲酸）管道连续化生产装置、并扩产上游原料</w:t>
      </w:r>
      <w:proofErr w:type="gramStart"/>
      <w:r w:rsidRPr="002549AD">
        <w:rPr>
          <w:rFonts w:asciiTheme="minorEastAsia" w:hAnsiTheme="minorEastAsia" w:hint="eastAsia"/>
        </w:rPr>
        <w:t>邻</w:t>
      </w:r>
      <w:proofErr w:type="gramEnd"/>
      <w:r w:rsidRPr="002549AD">
        <w:rPr>
          <w:rFonts w:asciiTheme="minorEastAsia" w:hAnsiTheme="minorEastAsia" w:hint="eastAsia"/>
        </w:rPr>
        <w:t>硝基对甲</w:t>
      </w:r>
      <w:proofErr w:type="gramStart"/>
      <w:r w:rsidRPr="002549AD">
        <w:rPr>
          <w:rFonts w:asciiTheme="minorEastAsia" w:hAnsiTheme="minorEastAsia" w:hint="eastAsia"/>
        </w:rPr>
        <w:t>砜</w:t>
      </w:r>
      <w:proofErr w:type="gramEnd"/>
      <w:r w:rsidRPr="002549AD">
        <w:rPr>
          <w:rFonts w:asciiTheme="minorEastAsia" w:hAnsiTheme="minorEastAsia" w:hint="eastAsia"/>
        </w:rPr>
        <w:t>基甲苯（简称NMST）连续化生产装置（</w:t>
      </w:r>
      <w:proofErr w:type="gramStart"/>
      <w:r w:rsidRPr="002549AD">
        <w:rPr>
          <w:rFonts w:asciiTheme="minorEastAsia" w:hAnsiTheme="minorEastAsia" w:hint="eastAsia"/>
        </w:rPr>
        <w:t>原邻硝基</w:t>
      </w:r>
      <w:proofErr w:type="gramEnd"/>
      <w:r w:rsidRPr="002549AD">
        <w:rPr>
          <w:rFonts w:asciiTheme="minorEastAsia" w:hAnsiTheme="minorEastAsia" w:hint="eastAsia"/>
        </w:rPr>
        <w:t>对甲</w:t>
      </w:r>
      <w:proofErr w:type="gramStart"/>
      <w:r w:rsidRPr="002549AD">
        <w:rPr>
          <w:rFonts w:asciiTheme="minorEastAsia" w:hAnsiTheme="minorEastAsia" w:hint="eastAsia"/>
        </w:rPr>
        <w:t>砜</w:t>
      </w:r>
      <w:proofErr w:type="gramEnd"/>
      <w:r w:rsidRPr="002549AD">
        <w:rPr>
          <w:rFonts w:asciiTheme="minorEastAsia" w:hAnsiTheme="minorEastAsia" w:hint="eastAsia"/>
        </w:rPr>
        <w:t>基甲苯间歇化生产装置在本项目建成后停产），建设高盐有机废水处理装置以及BA辅助系统</w:t>
      </w:r>
      <w:proofErr w:type="gramStart"/>
      <w:r w:rsidRPr="002549AD">
        <w:rPr>
          <w:rFonts w:asciiTheme="minorEastAsia" w:hAnsiTheme="minorEastAsia" w:hint="eastAsia"/>
        </w:rPr>
        <w:t>硝酸提浓装置</w:t>
      </w:r>
      <w:proofErr w:type="gramEnd"/>
      <w:r w:rsidRPr="002549AD">
        <w:rPr>
          <w:rFonts w:asciiTheme="minorEastAsia" w:hAnsiTheme="minorEastAsia" w:hint="eastAsia"/>
        </w:rPr>
        <w:t>等；为解决上游原料供应，同时建设三氧化硫连续磺化技改项目，新增3万吨/年磺化装置的配套产能；配套建设一套副产硫酸裂解再生装置，实现资源循环利用。项目实施完成后，磺化医药产业</w:t>
      </w:r>
      <w:r w:rsidRPr="002549AD">
        <w:rPr>
          <w:rFonts w:asciiTheme="minorEastAsia" w:hAnsiTheme="minorEastAsia" w:hint="eastAsia"/>
        </w:rPr>
        <w:lastRenderedPageBreak/>
        <w:t>新增BA产能4000吨/</w:t>
      </w:r>
      <w:proofErr w:type="gramStart"/>
      <w:r w:rsidRPr="002549AD">
        <w:rPr>
          <w:rFonts w:asciiTheme="minorEastAsia" w:hAnsiTheme="minorEastAsia" w:hint="eastAsia"/>
        </w:rPr>
        <w:t>年及其</w:t>
      </w:r>
      <w:proofErr w:type="gramEnd"/>
      <w:r w:rsidRPr="002549AD">
        <w:rPr>
          <w:rFonts w:asciiTheme="minorEastAsia" w:hAnsiTheme="minorEastAsia" w:hint="eastAsia"/>
        </w:rPr>
        <w:t>上游匹配装置，同时</w:t>
      </w:r>
      <w:proofErr w:type="gramStart"/>
      <w:r w:rsidRPr="002549AD">
        <w:rPr>
          <w:rFonts w:asciiTheme="minorEastAsia" w:hAnsiTheme="minorEastAsia" w:hint="eastAsia"/>
        </w:rPr>
        <w:t>解决高浓有机废水</w:t>
      </w:r>
      <w:proofErr w:type="gramEnd"/>
      <w:r w:rsidRPr="002549AD">
        <w:rPr>
          <w:rFonts w:asciiTheme="minorEastAsia" w:hAnsiTheme="minorEastAsia" w:hint="eastAsia"/>
        </w:rPr>
        <w:t>及副产酸等发展瓶颈，有力保障磺化医药产业衍生产品未来的发展，提升公司的盈利水平。</w:t>
      </w:r>
    </w:p>
    <w:p w:rsidR="00E13F70" w:rsidRPr="00E13F70" w:rsidRDefault="00E13F70" w:rsidP="006C1A55">
      <w:pPr>
        <w:adjustRightInd w:val="0"/>
        <w:snapToGrid w:val="0"/>
        <w:spacing w:line="360" w:lineRule="auto"/>
        <w:ind w:firstLineChars="201" w:firstLine="422"/>
        <w:rPr>
          <w:rFonts w:asciiTheme="minorEastAsia" w:hAnsiTheme="minorEastAsia"/>
        </w:rPr>
      </w:pPr>
    </w:p>
    <w:p w:rsidR="00C65A7C" w:rsidRDefault="00C65A7C" w:rsidP="003F15C4">
      <w:pPr>
        <w:adjustRightInd w:val="0"/>
        <w:snapToGrid w:val="0"/>
        <w:spacing w:line="360" w:lineRule="auto"/>
        <w:ind w:firstLineChars="201" w:firstLine="422"/>
        <w:rPr>
          <w:rFonts w:asciiTheme="minorEastAsia" w:hAnsiTheme="minorEastAsia"/>
        </w:rPr>
      </w:pPr>
    </w:p>
    <w:p w:rsidR="00C65A7C" w:rsidRPr="00C52AF1" w:rsidRDefault="00C65A7C" w:rsidP="00D1136A">
      <w:pPr>
        <w:adjustRightInd w:val="0"/>
        <w:snapToGrid w:val="0"/>
        <w:spacing w:line="360" w:lineRule="auto"/>
        <w:ind w:firstLineChars="201" w:firstLine="424"/>
        <w:rPr>
          <w:b/>
        </w:rPr>
      </w:pPr>
      <w:r w:rsidRPr="00C52AF1">
        <w:rPr>
          <w:rFonts w:hint="eastAsia"/>
          <w:b/>
        </w:rPr>
        <w:t>问题</w:t>
      </w:r>
      <w:r w:rsidR="002549AD">
        <w:rPr>
          <w:rFonts w:hint="eastAsia"/>
          <w:b/>
        </w:rPr>
        <w:t>3</w:t>
      </w:r>
      <w:r w:rsidRPr="00C52AF1">
        <w:rPr>
          <w:rFonts w:hint="eastAsia"/>
          <w:b/>
        </w:rPr>
        <w:t>：</w:t>
      </w:r>
      <w:r w:rsidR="002549AD">
        <w:rPr>
          <w:rFonts w:hint="eastAsia"/>
          <w:b/>
        </w:rPr>
        <w:t>公司在氢能业务方便的经营和建设情况如何</w:t>
      </w:r>
      <w:r w:rsidRPr="00C52AF1">
        <w:rPr>
          <w:rFonts w:hint="eastAsia"/>
          <w:b/>
        </w:rPr>
        <w:t>？</w:t>
      </w:r>
    </w:p>
    <w:p w:rsidR="00C65A7C" w:rsidRPr="00D1136A" w:rsidRDefault="00C65A7C" w:rsidP="00D1136A">
      <w:pPr>
        <w:adjustRightInd w:val="0"/>
        <w:snapToGrid w:val="0"/>
        <w:spacing w:line="360" w:lineRule="auto"/>
        <w:ind w:firstLineChars="201" w:firstLine="424"/>
        <w:rPr>
          <w:rFonts w:asciiTheme="minorEastAsia" w:hAnsiTheme="minorEastAsia"/>
        </w:rPr>
      </w:pPr>
      <w:r w:rsidRPr="00DD0979">
        <w:rPr>
          <w:rFonts w:hint="eastAsia"/>
          <w:b/>
        </w:rPr>
        <w:t>答：</w:t>
      </w:r>
      <w:r w:rsidR="002549AD" w:rsidRPr="00D1136A">
        <w:rPr>
          <w:rFonts w:asciiTheme="minorEastAsia" w:hAnsiTheme="minorEastAsia" w:hint="eastAsia"/>
        </w:rPr>
        <w:t>首先，公司有丰富的氢气资源，氢气由公司氯碱装置产出。</w:t>
      </w:r>
      <w:r w:rsidR="0021314B" w:rsidRPr="00D1136A">
        <w:rPr>
          <w:rFonts w:asciiTheme="minorEastAsia" w:hAnsiTheme="minorEastAsia" w:hint="eastAsia"/>
        </w:rPr>
        <w:t>上半年公司与富瑞氢能、上海重塑成立合资公司从事建设和运营氢能基础建设，</w:t>
      </w:r>
      <w:r w:rsidR="008D0A6A" w:rsidRPr="00D1136A">
        <w:rPr>
          <w:rFonts w:asciiTheme="minorEastAsia" w:hAnsiTheme="minorEastAsia" w:hint="eastAsia"/>
        </w:rPr>
        <w:t>嘉化氢能港城加氢站于9月出奠基建设，有望明年1季度运营，主要给当地</w:t>
      </w:r>
      <w:bookmarkStart w:id="0" w:name="_GoBack"/>
      <w:bookmarkEnd w:id="0"/>
      <w:r w:rsidR="008D0A6A" w:rsidRPr="00D1136A">
        <w:rPr>
          <w:rFonts w:asciiTheme="minorEastAsia" w:hAnsiTheme="minorEastAsia" w:hint="eastAsia"/>
        </w:rPr>
        <w:t>物流车辆及公交车辆提供加氢服务。其次，公司</w:t>
      </w:r>
      <w:proofErr w:type="gramStart"/>
      <w:r w:rsidR="008D0A6A" w:rsidRPr="00D1136A">
        <w:rPr>
          <w:rFonts w:asciiTheme="minorEastAsia" w:hAnsiTheme="minorEastAsia" w:hint="eastAsia"/>
        </w:rPr>
        <w:t>与浙能集团</w:t>
      </w:r>
      <w:proofErr w:type="gramEnd"/>
      <w:r w:rsidR="008D0A6A" w:rsidRPr="00D1136A">
        <w:rPr>
          <w:rFonts w:asciiTheme="minorEastAsia" w:hAnsiTheme="minorEastAsia" w:hint="eastAsia"/>
        </w:rPr>
        <w:t>签署了相关合作协议，开展氢能供应链及产业综合利用的合作。嘉化能源发挥其工业副产氢富余优势，</w:t>
      </w:r>
      <w:proofErr w:type="gramStart"/>
      <w:r w:rsidR="008D0A6A" w:rsidRPr="00D1136A">
        <w:rPr>
          <w:rFonts w:asciiTheme="minorEastAsia" w:hAnsiTheme="minorEastAsia" w:hint="eastAsia"/>
        </w:rPr>
        <w:t>为浙能集团</w:t>
      </w:r>
      <w:proofErr w:type="gramEnd"/>
      <w:r w:rsidR="008D0A6A" w:rsidRPr="00D1136A">
        <w:rPr>
          <w:rFonts w:asciiTheme="minorEastAsia" w:hAnsiTheme="minorEastAsia" w:hint="eastAsia"/>
        </w:rPr>
        <w:t>氢能供应提供保障，同时，双方合作建设全国首座氢液化工厂。公司在液氢技术上积极探索，液氢具有纯度更好、运输半径更长的优势，将</w:t>
      </w:r>
      <w:proofErr w:type="gramStart"/>
      <w:r w:rsidR="008D0A6A" w:rsidRPr="00D1136A">
        <w:rPr>
          <w:rFonts w:asciiTheme="minorEastAsia" w:hAnsiTheme="minorEastAsia" w:hint="eastAsia"/>
        </w:rPr>
        <w:t>打破气氢</w:t>
      </w:r>
      <w:proofErr w:type="gramEnd"/>
      <w:r w:rsidR="008D0A6A" w:rsidRPr="00D1136A">
        <w:rPr>
          <w:rFonts w:asciiTheme="minorEastAsia" w:hAnsiTheme="minorEastAsia" w:hint="eastAsia"/>
        </w:rPr>
        <w:t>200km运输半径限制。</w:t>
      </w:r>
    </w:p>
    <w:p w:rsidR="00C65A7C" w:rsidRDefault="00C65A7C" w:rsidP="003F15C4">
      <w:pPr>
        <w:adjustRightInd w:val="0"/>
        <w:snapToGrid w:val="0"/>
        <w:spacing w:line="360" w:lineRule="auto"/>
        <w:ind w:firstLineChars="201" w:firstLine="424"/>
        <w:rPr>
          <w:b/>
        </w:rPr>
      </w:pPr>
    </w:p>
    <w:p w:rsidR="00CE22E5" w:rsidRDefault="00CE22E5" w:rsidP="00D1136A">
      <w:pPr>
        <w:adjustRightInd w:val="0"/>
        <w:snapToGrid w:val="0"/>
        <w:spacing w:line="360" w:lineRule="auto"/>
        <w:ind w:firstLineChars="201" w:firstLine="424"/>
        <w:rPr>
          <w:b/>
        </w:rPr>
      </w:pPr>
      <w:r>
        <w:rPr>
          <w:rFonts w:hint="eastAsia"/>
          <w:b/>
        </w:rPr>
        <w:t>问题</w:t>
      </w:r>
      <w:r w:rsidR="0021314B">
        <w:rPr>
          <w:rFonts w:hint="eastAsia"/>
          <w:b/>
        </w:rPr>
        <w:t>4</w:t>
      </w:r>
      <w:r>
        <w:rPr>
          <w:rFonts w:hint="eastAsia"/>
          <w:b/>
        </w:rPr>
        <w:t>：</w:t>
      </w:r>
      <w:r w:rsidR="009B3413">
        <w:rPr>
          <w:rFonts w:hint="eastAsia"/>
          <w:b/>
        </w:rPr>
        <w:t>光</w:t>
      </w:r>
      <w:proofErr w:type="gramStart"/>
      <w:r w:rsidR="009B3413">
        <w:rPr>
          <w:rFonts w:hint="eastAsia"/>
          <w:b/>
        </w:rPr>
        <w:t>伏业务</w:t>
      </w:r>
      <w:proofErr w:type="gramEnd"/>
      <w:r w:rsidR="009B3413">
        <w:rPr>
          <w:rFonts w:hint="eastAsia"/>
          <w:b/>
        </w:rPr>
        <w:t>是否受</w:t>
      </w:r>
      <w:r w:rsidR="00194FFD">
        <w:rPr>
          <w:rFonts w:hint="eastAsia"/>
          <w:b/>
        </w:rPr>
        <w:t>相关补贴</w:t>
      </w:r>
      <w:r w:rsidR="009B3413">
        <w:rPr>
          <w:rFonts w:hint="eastAsia"/>
          <w:b/>
        </w:rPr>
        <w:t>政策调整</w:t>
      </w:r>
      <w:r w:rsidR="00194FFD">
        <w:rPr>
          <w:rFonts w:hint="eastAsia"/>
          <w:b/>
        </w:rPr>
        <w:t>的影响</w:t>
      </w:r>
      <w:r w:rsidR="00DD0979">
        <w:rPr>
          <w:rFonts w:hint="eastAsia"/>
          <w:b/>
        </w:rPr>
        <w:t>？</w:t>
      </w:r>
    </w:p>
    <w:p w:rsidR="00DD0979" w:rsidRDefault="00DD0979" w:rsidP="00194FFD">
      <w:pPr>
        <w:adjustRightInd w:val="0"/>
        <w:snapToGrid w:val="0"/>
        <w:spacing w:line="360" w:lineRule="auto"/>
        <w:ind w:firstLineChars="201" w:firstLine="424"/>
        <w:rPr>
          <w:rFonts w:asciiTheme="minorEastAsia" w:hAnsiTheme="minorEastAsia"/>
        </w:rPr>
      </w:pPr>
      <w:r>
        <w:rPr>
          <w:rFonts w:hint="eastAsia"/>
          <w:b/>
        </w:rPr>
        <w:t>答：</w:t>
      </w:r>
      <w:r w:rsidR="00194FFD" w:rsidRPr="00194FFD">
        <w:rPr>
          <w:rFonts w:asciiTheme="minorEastAsia" w:hAnsiTheme="minorEastAsia" w:hint="eastAsia"/>
        </w:rPr>
        <w:t>2019年前三季度，</w:t>
      </w:r>
      <w:r w:rsidR="00194FFD" w:rsidRPr="00194FFD">
        <w:rPr>
          <w:rFonts w:asciiTheme="minorEastAsia" w:hAnsiTheme="minorEastAsia"/>
        </w:rPr>
        <w:t>公司光伏发电业务</w:t>
      </w:r>
      <w:r w:rsidR="00194FFD" w:rsidRPr="00194FFD">
        <w:rPr>
          <w:rFonts w:asciiTheme="minorEastAsia" w:hAnsiTheme="minorEastAsia" w:hint="eastAsia"/>
        </w:rPr>
        <w:t>12,004.38万千瓦时，同比增长</w:t>
      </w:r>
      <w:r w:rsidR="00194FFD" w:rsidRPr="00194FFD">
        <w:rPr>
          <w:rFonts w:asciiTheme="minorEastAsia" w:hAnsiTheme="minorEastAsia"/>
        </w:rPr>
        <w:t>29.87</w:t>
      </w:r>
      <w:r w:rsidR="00194FFD" w:rsidRPr="00194FFD">
        <w:rPr>
          <w:rFonts w:asciiTheme="minorEastAsia" w:hAnsiTheme="minorEastAsia" w:hint="eastAsia"/>
        </w:rPr>
        <w:t>%，营业收入3228.23万元，同比下降48.27%，主要系主</w:t>
      </w:r>
      <w:proofErr w:type="gramStart"/>
      <w:r w:rsidR="00194FFD" w:rsidRPr="00194FFD">
        <w:rPr>
          <w:rFonts w:asciiTheme="minorEastAsia" w:hAnsiTheme="minorEastAsia" w:hint="eastAsia"/>
        </w:rPr>
        <w:t>要原因</w:t>
      </w:r>
      <w:proofErr w:type="gramEnd"/>
      <w:r w:rsidR="00194FFD" w:rsidRPr="00194FFD">
        <w:rPr>
          <w:rFonts w:asciiTheme="minorEastAsia" w:hAnsiTheme="minorEastAsia" w:hint="eastAsia"/>
        </w:rPr>
        <w:t>为新疆地区光伏电站从2018年9月开始可再生能源补贴结算方式改变，改为在补贴资金支付时一次性计算开票, 2019 年1-9月较去年同口径少计收入4,884.57万元。</w:t>
      </w:r>
    </w:p>
    <w:p w:rsidR="00194FFD" w:rsidRDefault="00194FFD" w:rsidP="00194FFD">
      <w:pPr>
        <w:adjustRightInd w:val="0"/>
        <w:snapToGrid w:val="0"/>
        <w:spacing w:line="360" w:lineRule="auto"/>
        <w:ind w:firstLineChars="201" w:firstLine="422"/>
        <w:rPr>
          <w:rFonts w:asciiTheme="minorEastAsia" w:hAnsiTheme="minorEastAsia"/>
        </w:rPr>
      </w:pPr>
    </w:p>
    <w:p w:rsidR="00194FFD" w:rsidRPr="00194FFD" w:rsidRDefault="00194FFD" w:rsidP="00194FFD">
      <w:pPr>
        <w:adjustRightInd w:val="0"/>
        <w:snapToGrid w:val="0"/>
        <w:spacing w:line="360" w:lineRule="auto"/>
        <w:ind w:firstLineChars="201" w:firstLine="424"/>
        <w:rPr>
          <w:b/>
        </w:rPr>
      </w:pPr>
      <w:r w:rsidRPr="00194FFD">
        <w:rPr>
          <w:rFonts w:asciiTheme="minorEastAsia" w:hAnsiTheme="minorEastAsia" w:hint="eastAsia"/>
          <w:b/>
        </w:rPr>
        <w:t>问题5、</w:t>
      </w:r>
      <w:r>
        <w:rPr>
          <w:rFonts w:asciiTheme="minorEastAsia" w:hAnsiTheme="minorEastAsia" w:hint="eastAsia"/>
          <w:b/>
        </w:rPr>
        <w:t>请介绍一下热电业务的情况，是否受煤炭价格波动影响？</w:t>
      </w:r>
    </w:p>
    <w:p w:rsidR="00CE22E5" w:rsidRPr="00172037" w:rsidRDefault="00194FFD" w:rsidP="00194FFD">
      <w:pPr>
        <w:adjustRightInd w:val="0"/>
        <w:snapToGrid w:val="0"/>
        <w:spacing w:line="360" w:lineRule="auto"/>
        <w:ind w:firstLineChars="201" w:firstLine="424"/>
        <w:rPr>
          <w:rFonts w:asciiTheme="minorEastAsia" w:hAnsiTheme="minorEastAsia"/>
        </w:rPr>
      </w:pPr>
      <w:r>
        <w:rPr>
          <w:b/>
        </w:rPr>
        <w:t>答</w:t>
      </w:r>
      <w:r>
        <w:rPr>
          <w:rFonts w:hint="eastAsia"/>
          <w:b/>
        </w:rPr>
        <w:t>：</w:t>
      </w:r>
      <w:r w:rsidRPr="00172037">
        <w:rPr>
          <w:rFonts w:asciiTheme="minorEastAsia" w:hAnsiTheme="minorEastAsia" w:hint="eastAsia"/>
        </w:rPr>
        <w:t>2019年前三季度，公司蒸汽产品856.49万吨，同比增长2.36%，销量577.39万吨，同比增长2.53%，实现营业收入98,576.88万元。公司蒸汽价格已煤炭为定价依据，采用煤气价格联动的定价策略。公司为园区内企业提供</w:t>
      </w:r>
      <w:r w:rsidR="00172037" w:rsidRPr="00172037">
        <w:rPr>
          <w:rFonts w:asciiTheme="minorEastAsia" w:hAnsiTheme="minorEastAsia" w:hint="eastAsia"/>
        </w:rPr>
        <w:t>常规格蒸汽外</w:t>
      </w:r>
      <w:r w:rsidRPr="00172037">
        <w:rPr>
          <w:rFonts w:asciiTheme="minorEastAsia" w:hAnsiTheme="minorEastAsia" w:hint="eastAsia"/>
        </w:rPr>
        <w:t>，</w:t>
      </w:r>
      <w:r w:rsidR="00172037" w:rsidRPr="00172037">
        <w:rPr>
          <w:rFonts w:asciiTheme="minorEastAsia" w:hAnsiTheme="minorEastAsia" w:hint="eastAsia"/>
        </w:rPr>
        <w:t>还根据企业要求，提供特定</w:t>
      </w:r>
      <w:r w:rsidRPr="00172037">
        <w:rPr>
          <w:rFonts w:asciiTheme="minorEastAsia" w:hAnsiTheme="minorEastAsia" w:hint="eastAsia"/>
        </w:rPr>
        <w:t>压力等级的蒸汽产品，</w:t>
      </w:r>
      <w:r w:rsidR="00172037" w:rsidRPr="00172037">
        <w:rPr>
          <w:rFonts w:asciiTheme="minorEastAsia" w:hAnsiTheme="minorEastAsia" w:hint="eastAsia"/>
        </w:rPr>
        <w:t>通过专管输送。</w:t>
      </w:r>
    </w:p>
    <w:p w:rsidR="001F7DCA" w:rsidRDefault="001F7DCA" w:rsidP="003F15C4">
      <w:pPr>
        <w:adjustRightInd w:val="0"/>
        <w:snapToGrid w:val="0"/>
        <w:spacing w:line="360" w:lineRule="auto"/>
        <w:ind w:firstLineChars="201" w:firstLine="422"/>
        <w:rPr>
          <w:rFonts w:asciiTheme="minorEastAsia" w:hAnsiTheme="minorEastAsia"/>
        </w:rPr>
      </w:pPr>
    </w:p>
    <w:p w:rsidR="001F7DCA" w:rsidRPr="001F7DCA" w:rsidRDefault="001F7DCA" w:rsidP="003F15C4">
      <w:pPr>
        <w:adjustRightInd w:val="0"/>
        <w:snapToGrid w:val="0"/>
        <w:spacing w:line="360" w:lineRule="auto"/>
        <w:ind w:firstLineChars="201" w:firstLine="424"/>
        <w:rPr>
          <w:rFonts w:asciiTheme="minorEastAsia" w:hAnsiTheme="minorEastAsia"/>
          <w:b/>
        </w:rPr>
      </w:pPr>
      <w:r w:rsidRPr="001F7DCA">
        <w:rPr>
          <w:rFonts w:asciiTheme="minorEastAsia" w:hAnsiTheme="minorEastAsia" w:hint="eastAsia"/>
          <w:b/>
        </w:rPr>
        <w:t>三、脂肪</w:t>
      </w:r>
      <w:proofErr w:type="gramStart"/>
      <w:r w:rsidRPr="001F7DCA">
        <w:rPr>
          <w:rFonts w:asciiTheme="minorEastAsia" w:hAnsiTheme="minorEastAsia" w:hint="eastAsia"/>
          <w:b/>
        </w:rPr>
        <w:t>醇</w:t>
      </w:r>
      <w:proofErr w:type="gramEnd"/>
      <w:r w:rsidRPr="001F7DCA">
        <w:rPr>
          <w:rFonts w:asciiTheme="minorEastAsia" w:hAnsiTheme="minorEastAsia" w:hint="eastAsia"/>
          <w:b/>
        </w:rPr>
        <w:t>控制室及嘉化新材料公司实地参观</w:t>
      </w:r>
    </w:p>
    <w:p w:rsidR="00DD0979" w:rsidRPr="00DD0979" w:rsidRDefault="00DD0979" w:rsidP="00C52AF1">
      <w:pPr>
        <w:adjustRightInd w:val="0"/>
        <w:snapToGrid w:val="0"/>
        <w:spacing w:line="360" w:lineRule="auto"/>
        <w:rPr>
          <w:b/>
        </w:rPr>
      </w:pPr>
    </w:p>
    <w:sectPr w:rsidR="00DD0979" w:rsidRPr="00DD0979" w:rsidSect="00452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7D" w:rsidRDefault="00A2077D" w:rsidP="00FC5976">
      <w:r>
        <w:separator/>
      </w:r>
    </w:p>
  </w:endnote>
  <w:endnote w:type="continuationSeparator" w:id="0">
    <w:p w:rsidR="00A2077D" w:rsidRDefault="00A2077D" w:rsidP="00FC5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7D" w:rsidRDefault="00A2077D" w:rsidP="00FC5976">
      <w:r>
        <w:separator/>
      </w:r>
    </w:p>
  </w:footnote>
  <w:footnote w:type="continuationSeparator" w:id="0">
    <w:p w:rsidR="00A2077D" w:rsidRDefault="00A2077D" w:rsidP="00FC5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0B9"/>
    <w:multiLevelType w:val="hybridMultilevel"/>
    <w:tmpl w:val="2E6AF250"/>
    <w:lvl w:ilvl="0" w:tplc="382C372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763543"/>
    <w:multiLevelType w:val="hybridMultilevel"/>
    <w:tmpl w:val="536CC9B4"/>
    <w:lvl w:ilvl="0" w:tplc="4FACF480">
      <w:start w:val="1"/>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5976"/>
    <w:rsid w:val="000F2256"/>
    <w:rsid w:val="00172037"/>
    <w:rsid w:val="00194FFD"/>
    <w:rsid w:val="0019588C"/>
    <w:rsid w:val="001A5BC9"/>
    <w:rsid w:val="001E2B58"/>
    <w:rsid w:val="001F1708"/>
    <w:rsid w:val="001F7DCA"/>
    <w:rsid w:val="0021314B"/>
    <w:rsid w:val="002549AD"/>
    <w:rsid w:val="00272ADE"/>
    <w:rsid w:val="00276058"/>
    <w:rsid w:val="0027719D"/>
    <w:rsid w:val="00291CF4"/>
    <w:rsid w:val="0029794F"/>
    <w:rsid w:val="002A346F"/>
    <w:rsid w:val="00373D8A"/>
    <w:rsid w:val="003B1E91"/>
    <w:rsid w:val="003C7E42"/>
    <w:rsid w:val="003F15C4"/>
    <w:rsid w:val="00452BA0"/>
    <w:rsid w:val="00462170"/>
    <w:rsid w:val="004D2C17"/>
    <w:rsid w:val="00537935"/>
    <w:rsid w:val="00552293"/>
    <w:rsid w:val="00594E71"/>
    <w:rsid w:val="005A4596"/>
    <w:rsid w:val="005C6743"/>
    <w:rsid w:val="00624B10"/>
    <w:rsid w:val="006920DE"/>
    <w:rsid w:val="006C1A55"/>
    <w:rsid w:val="00757E45"/>
    <w:rsid w:val="00760B69"/>
    <w:rsid w:val="007820B2"/>
    <w:rsid w:val="007C2E22"/>
    <w:rsid w:val="007D08B1"/>
    <w:rsid w:val="007D465B"/>
    <w:rsid w:val="007D5036"/>
    <w:rsid w:val="00826307"/>
    <w:rsid w:val="00830596"/>
    <w:rsid w:val="00864E36"/>
    <w:rsid w:val="00876E8D"/>
    <w:rsid w:val="008C6F33"/>
    <w:rsid w:val="008D0A6A"/>
    <w:rsid w:val="00904B4F"/>
    <w:rsid w:val="00946523"/>
    <w:rsid w:val="00951162"/>
    <w:rsid w:val="009559EF"/>
    <w:rsid w:val="009A2B53"/>
    <w:rsid w:val="009A6A6D"/>
    <w:rsid w:val="009B3413"/>
    <w:rsid w:val="009C2641"/>
    <w:rsid w:val="009E6EEA"/>
    <w:rsid w:val="00A2077D"/>
    <w:rsid w:val="00A3552A"/>
    <w:rsid w:val="00A63DB3"/>
    <w:rsid w:val="00AA134F"/>
    <w:rsid w:val="00AC2842"/>
    <w:rsid w:val="00AE75D0"/>
    <w:rsid w:val="00B01E94"/>
    <w:rsid w:val="00B1381F"/>
    <w:rsid w:val="00B5538F"/>
    <w:rsid w:val="00B655F4"/>
    <w:rsid w:val="00B73B6F"/>
    <w:rsid w:val="00B93070"/>
    <w:rsid w:val="00BD44EA"/>
    <w:rsid w:val="00BD6BB1"/>
    <w:rsid w:val="00BF3CEC"/>
    <w:rsid w:val="00C27C2B"/>
    <w:rsid w:val="00C3268E"/>
    <w:rsid w:val="00C52AF1"/>
    <w:rsid w:val="00C65A7C"/>
    <w:rsid w:val="00C74C38"/>
    <w:rsid w:val="00CD64DC"/>
    <w:rsid w:val="00CE22E5"/>
    <w:rsid w:val="00CF467B"/>
    <w:rsid w:val="00D1136A"/>
    <w:rsid w:val="00D16C85"/>
    <w:rsid w:val="00D4508A"/>
    <w:rsid w:val="00D85183"/>
    <w:rsid w:val="00DB4D74"/>
    <w:rsid w:val="00DD0979"/>
    <w:rsid w:val="00DE3F4D"/>
    <w:rsid w:val="00DF2D59"/>
    <w:rsid w:val="00DF34CE"/>
    <w:rsid w:val="00E13F70"/>
    <w:rsid w:val="00E42D12"/>
    <w:rsid w:val="00E85DB8"/>
    <w:rsid w:val="00ED4A96"/>
    <w:rsid w:val="00EE3672"/>
    <w:rsid w:val="00F37EFF"/>
    <w:rsid w:val="00F54A8D"/>
    <w:rsid w:val="00F77CE2"/>
    <w:rsid w:val="00FB1B64"/>
    <w:rsid w:val="00FB667D"/>
    <w:rsid w:val="00FC1B6D"/>
    <w:rsid w:val="00FC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59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5976"/>
    <w:rPr>
      <w:sz w:val="18"/>
      <w:szCs w:val="18"/>
    </w:rPr>
  </w:style>
  <w:style w:type="paragraph" w:styleId="a4">
    <w:name w:val="footer"/>
    <w:basedOn w:val="a"/>
    <w:link w:val="Char0"/>
    <w:uiPriority w:val="99"/>
    <w:semiHidden/>
    <w:unhideWhenUsed/>
    <w:rsid w:val="00FC59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5976"/>
    <w:rPr>
      <w:sz w:val="18"/>
      <w:szCs w:val="18"/>
    </w:rPr>
  </w:style>
  <w:style w:type="character" w:styleId="a5">
    <w:name w:val="annotation reference"/>
    <w:basedOn w:val="a0"/>
    <w:uiPriority w:val="99"/>
    <w:semiHidden/>
    <w:unhideWhenUsed/>
    <w:rsid w:val="00BD6BB1"/>
    <w:rPr>
      <w:sz w:val="21"/>
      <w:szCs w:val="21"/>
    </w:rPr>
  </w:style>
  <w:style w:type="paragraph" w:styleId="a6">
    <w:name w:val="annotation text"/>
    <w:basedOn w:val="a"/>
    <w:link w:val="Char1"/>
    <w:uiPriority w:val="99"/>
    <w:semiHidden/>
    <w:unhideWhenUsed/>
    <w:rsid w:val="00BD6BB1"/>
    <w:pPr>
      <w:jc w:val="left"/>
    </w:pPr>
  </w:style>
  <w:style w:type="character" w:customStyle="1" w:styleId="Char1">
    <w:name w:val="批注文字 Char"/>
    <w:basedOn w:val="a0"/>
    <w:link w:val="a6"/>
    <w:uiPriority w:val="99"/>
    <w:semiHidden/>
    <w:rsid w:val="00BD6BB1"/>
  </w:style>
  <w:style w:type="paragraph" w:styleId="a7">
    <w:name w:val="annotation subject"/>
    <w:basedOn w:val="a6"/>
    <w:next w:val="a6"/>
    <w:link w:val="Char2"/>
    <w:uiPriority w:val="99"/>
    <w:semiHidden/>
    <w:unhideWhenUsed/>
    <w:rsid w:val="00BD6BB1"/>
    <w:rPr>
      <w:b/>
      <w:bCs/>
    </w:rPr>
  </w:style>
  <w:style w:type="character" w:customStyle="1" w:styleId="Char2">
    <w:name w:val="批注主题 Char"/>
    <w:basedOn w:val="Char1"/>
    <w:link w:val="a7"/>
    <w:uiPriority w:val="99"/>
    <w:semiHidden/>
    <w:rsid w:val="00BD6BB1"/>
    <w:rPr>
      <w:b/>
      <w:bCs/>
    </w:rPr>
  </w:style>
  <w:style w:type="paragraph" w:styleId="a8">
    <w:name w:val="Balloon Text"/>
    <w:basedOn w:val="a"/>
    <w:link w:val="Char3"/>
    <w:uiPriority w:val="99"/>
    <w:semiHidden/>
    <w:unhideWhenUsed/>
    <w:rsid w:val="00BD6BB1"/>
    <w:rPr>
      <w:sz w:val="18"/>
      <w:szCs w:val="18"/>
    </w:rPr>
  </w:style>
  <w:style w:type="character" w:customStyle="1" w:styleId="Char3">
    <w:name w:val="批注框文本 Char"/>
    <w:basedOn w:val="a0"/>
    <w:link w:val="a8"/>
    <w:uiPriority w:val="99"/>
    <w:semiHidden/>
    <w:rsid w:val="00BD6BB1"/>
    <w:rPr>
      <w:sz w:val="18"/>
      <w:szCs w:val="18"/>
    </w:rPr>
  </w:style>
  <w:style w:type="paragraph" w:styleId="a9">
    <w:name w:val="List Paragraph"/>
    <w:basedOn w:val="a"/>
    <w:uiPriority w:val="34"/>
    <w:qFormat/>
    <w:rsid w:val="001F7DC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1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Windows 用户</cp:lastModifiedBy>
  <cp:revision>8</cp:revision>
  <cp:lastPrinted>2015-11-20T04:11:00Z</cp:lastPrinted>
  <dcterms:created xsi:type="dcterms:W3CDTF">2016-06-22T01:31:00Z</dcterms:created>
  <dcterms:modified xsi:type="dcterms:W3CDTF">2019-12-12T02:01:00Z</dcterms:modified>
</cp:coreProperties>
</file>