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883" w:rsidRDefault="00E507F0">
      <w:pPr>
        <w:adjustRightInd w:val="0"/>
        <w:snapToGrid w:val="0"/>
        <w:spacing w:beforeLines="50" w:before="156" w:line="24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重庆三峰环境集团股份有限公司</w:t>
      </w:r>
    </w:p>
    <w:p w:rsidR="00C53883" w:rsidRDefault="00E507F0">
      <w:pPr>
        <w:adjustRightInd w:val="0"/>
        <w:snapToGrid w:val="0"/>
        <w:spacing w:beforeLines="50" w:before="156" w:line="24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投资者关系活动记录表</w:t>
      </w:r>
    </w:p>
    <w:p w:rsidR="00C53883" w:rsidRDefault="00E507F0">
      <w:pPr>
        <w:adjustRightInd w:val="0"/>
        <w:snapToGrid w:val="0"/>
        <w:spacing w:line="240" w:lineRule="atLeast"/>
        <w:ind w:firstLineChars="2100" w:firstLine="5040"/>
        <w:jc w:val="right"/>
        <w:rPr>
          <w:rFonts w:ascii="方正仿宋_GBK" w:eastAsia="方正仿宋_GBK" w:hAnsi="宋体"/>
          <w:sz w:val="24"/>
          <w:szCs w:val="24"/>
        </w:rPr>
      </w:pPr>
      <w:r>
        <w:rPr>
          <w:rFonts w:ascii="方正仿宋_GBK" w:eastAsia="方正仿宋_GBK" w:hAnsi="宋体" w:hint="eastAsia"/>
          <w:sz w:val="24"/>
          <w:szCs w:val="24"/>
        </w:rPr>
        <w:t>编号：00</w:t>
      </w:r>
      <w:r>
        <w:rPr>
          <w:rFonts w:ascii="方正仿宋_GBK" w:eastAsia="方正仿宋_GBK" w:hAnsi="宋体"/>
          <w:sz w:val="24"/>
          <w:szCs w:val="24"/>
        </w:rPr>
        <w:t>2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60"/>
        <w:gridCol w:w="2118"/>
        <w:gridCol w:w="1041"/>
        <w:gridCol w:w="305"/>
        <w:gridCol w:w="2772"/>
      </w:tblGrid>
      <w:tr w:rsidR="00C53883">
        <w:trPr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83" w:rsidRDefault="00E507F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投资者关系活动类别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3883" w:rsidRDefault="00E507F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√公司现场接待</w:t>
            </w:r>
          </w:p>
          <w:p w:rsidR="00C53883" w:rsidRDefault="00E507F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□其他场所接待</w:t>
            </w:r>
          </w:p>
          <w:p w:rsidR="00C53883" w:rsidRDefault="00E507F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□定期报告说明会</w:t>
            </w:r>
          </w:p>
          <w:p w:rsidR="00C53883" w:rsidRDefault="00E507F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□其他：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883" w:rsidRDefault="00E507F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□电话接待</w:t>
            </w:r>
          </w:p>
          <w:p w:rsidR="00C53883" w:rsidRDefault="00E507F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□公开说明会</w:t>
            </w:r>
          </w:p>
          <w:p w:rsidR="00C53883" w:rsidRDefault="00E507F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□重要公告说明会</w:t>
            </w:r>
          </w:p>
          <w:p w:rsidR="00C53883" w:rsidRDefault="00C53883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53883">
        <w:trPr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83" w:rsidRDefault="00E507F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参与单位名称及人员姓名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83" w:rsidRDefault="00E507F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东方证券 谢超波</w:t>
            </w:r>
          </w:p>
          <w:p w:rsidR="00C53883" w:rsidRDefault="00E507F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博时基金 张锦</w:t>
            </w:r>
          </w:p>
          <w:p w:rsidR="00C53883" w:rsidRDefault="00E507F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光大证券 殷中枢、郝骞</w:t>
            </w:r>
          </w:p>
          <w:p w:rsidR="00C53883" w:rsidRDefault="00E507F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申万环保 柴琪婉</w:t>
            </w:r>
          </w:p>
          <w:p w:rsidR="00C53883" w:rsidRDefault="00E507F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兴证环保 苗蒙</w:t>
            </w:r>
            <w:proofErr w:type="gramEnd"/>
          </w:p>
        </w:tc>
      </w:tr>
      <w:tr w:rsidR="00C53883">
        <w:trPr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83" w:rsidRDefault="00E507F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83" w:rsidRDefault="00E507F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2020年</w:t>
            </w:r>
            <w:r>
              <w:rPr>
                <w:rFonts w:ascii="仿宋" w:eastAsia="仿宋" w:hAnsi="仿宋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>15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日13:00-</w:t>
            </w:r>
            <w:r>
              <w:rPr>
                <w:rFonts w:ascii="仿宋" w:eastAsia="仿宋" w:hAnsi="仿宋"/>
                <w:sz w:val="24"/>
                <w:szCs w:val="24"/>
              </w:rPr>
              <w:t>15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/>
                <w:sz w:val="24"/>
                <w:szCs w:val="24"/>
              </w:rPr>
              <w:t>00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83" w:rsidRDefault="00E507F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地点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83" w:rsidRDefault="00E507F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重庆百果园</w:t>
            </w:r>
            <w:r>
              <w:rPr>
                <w:rFonts w:ascii="仿宋" w:eastAsia="仿宋" w:hAnsi="仿宋"/>
                <w:sz w:val="24"/>
                <w:szCs w:val="24"/>
              </w:rPr>
              <w:t>教育基地</w:t>
            </w:r>
          </w:p>
        </w:tc>
      </w:tr>
      <w:tr w:rsidR="00C53883">
        <w:trPr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83" w:rsidRDefault="00E507F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上市公司接待人员姓名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83" w:rsidRDefault="00E507F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刘燕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sz w:val="24"/>
                <w:szCs w:val="24"/>
              </w:rPr>
              <w:t>朱用</w:t>
            </w:r>
          </w:p>
        </w:tc>
      </w:tr>
      <w:tr w:rsidR="00C53883">
        <w:trPr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83" w:rsidRDefault="00E507F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投资者关系活动主要内容介绍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83" w:rsidRDefault="00E507F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一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sz w:val="24"/>
                <w:szCs w:val="24"/>
              </w:rPr>
              <w:t>来访客人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参观</w:t>
            </w:r>
            <w:r>
              <w:rPr>
                <w:rFonts w:ascii="仿宋" w:eastAsia="仿宋" w:hAnsi="仿宋"/>
                <w:sz w:val="24"/>
                <w:szCs w:val="24"/>
              </w:rPr>
              <w:t>重庆百果园教育基地</w:t>
            </w:r>
            <w:r w:rsidRPr="002E08C7">
              <w:rPr>
                <w:rFonts w:ascii="仿宋" w:eastAsia="仿宋" w:hAnsi="仿宋" w:hint="eastAsia"/>
                <w:sz w:val="24"/>
                <w:szCs w:val="24"/>
              </w:rPr>
              <w:t>，向客人介绍了公司基本情况。</w:t>
            </w:r>
          </w:p>
          <w:p w:rsidR="00C53883" w:rsidRDefault="00E507F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、交流环节</w:t>
            </w:r>
          </w:p>
          <w:p w:rsidR="00C53883" w:rsidRDefault="00E507F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公司与同业垃圾焚烧上市公司相比，优势和劣势主要有哪些？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C53883" w:rsidRDefault="00E507F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回</w:t>
            </w:r>
            <w:r w:rsidRPr="00013BAF">
              <w:rPr>
                <w:rFonts w:ascii="仿宋" w:eastAsia="仿宋" w:hAnsi="仿宋" w:hint="eastAsia"/>
                <w:sz w:val="24"/>
                <w:szCs w:val="24"/>
              </w:rPr>
              <w:t>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5A2747" w:rsidRPr="005A2747">
              <w:rPr>
                <w:rFonts w:ascii="仿宋" w:eastAsia="仿宋" w:hAnsi="仿宋" w:hint="eastAsia"/>
                <w:sz w:val="24"/>
                <w:szCs w:val="24"/>
              </w:rPr>
              <w:t>感谢您对公司的关注</w:t>
            </w:r>
            <w:r w:rsidR="005A2747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三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峰环境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在市场上具有较高的知名度与美誉度，核心设备焚烧炉深受客户及市场认可。作为最早进入垃圾焚烧发电行业的企业之一，三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峰环境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拥有较强的垃圾焚烧发电技术研发实力；积累了丰富的垃圾焚烧发电项目运营管理经验；具备垃圾焚烧发电技术研发、投资、设计建造、设备制造和运营全产业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链服务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能力；拥有在垃圾焚烧发电技术、核心设备制造、项目投资、设计、建造、运营管理等方面具有丰富经验、扎实专业功底的核心管理团队。</w:t>
            </w:r>
          </w:p>
          <w:p w:rsidR="00C53883" w:rsidRDefault="00E507F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公司未来市场拓展计划如何？预计未来三年新增市场规模有多大？</w:t>
            </w:r>
          </w:p>
          <w:p w:rsidR="00C53883" w:rsidRDefault="00E507F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回</w:t>
            </w:r>
            <w:r w:rsidRPr="0030304D">
              <w:rPr>
                <w:rFonts w:ascii="仿宋" w:eastAsia="仿宋" w:hAnsi="仿宋" w:hint="eastAsia"/>
                <w:sz w:val="24"/>
                <w:szCs w:val="24"/>
              </w:rPr>
              <w:t>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5A2747" w:rsidRPr="005A2747">
              <w:rPr>
                <w:rFonts w:ascii="仿宋" w:eastAsia="仿宋" w:hAnsi="仿宋" w:hint="eastAsia"/>
                <w:sz w:val="24"/>
                <w:szCs w:val="24"/>
              </w:rPr>
              <w:t>感谢您对公司的关注</w:t>
            </w:r>
            <w:r w:rsidR="005A2747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三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峰环境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全力推进市场开发工作，严格筛选优质市场项目，力争</w:t>
            </w:r>
            <w:r w:rsidRPr="0030304D">
              <w:rPr>
                <w:rFonts w:ascii="仿宋" w:eastAsia="仿宋" w:hAnsi="仿宋" w:hint="eastAsia"/>
                <w:sz w:val="24"/>
                <w:szCs w:val="24"/>
              </w:rPr>
              <w:t>在未来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继续扩大规模、提升市场地位。</w:t>
            </w:r>
          </w:p>
          <w:p w:rsidR="00C53883" w:rsidRDefault="00E507F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请问公司各在建项目进展情况？</w:t>
            </w:r>
          </w:p>
          <w:p w:rsidR="00C53883" w:rsidRDefault="00E507F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回</w:t>
            </w:r>
            <w:r w:rsidRPr="0030304D">
              <w:rPr>
                <w:rFonts w:ascii="仿宋" w:eastAsia="仿宋" w:hAnsi="仿宋" w:hint="eastAsia"/>
                <w:sz w:val="24"/>
                <w:szCs w:val="24"/>
              </w:rPr>
              <w:t>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5A2747" w:rsidRPr="005A2747">
              <w:rPr>
                <w:rFonts w:ascii="仿宋" w:eastAsia="仿宋" w:hAnsi="仿宋" w:hint="eastAsia"/>
                <w:sz w:val="24"/>
                <w:szCs w:val="24"/>
              </w:rPr>
              <w:t>感谢您对公司的关注</w:t>
            </w:r>
            <w:r w:rsidR="005A2747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截至2020年6月30日，公司在建及筹建垃圾焚烧发电项目共20个（不含参股项目）。其中，东营项目（二期）已进入试运行阶段，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洛碛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项目、赤峰项目（一期）、鞍山项目、浦江项目等在建项目施工进展正常，綦江项目、西昌项目（二期）、会东项目等筹建项目按计划推进各项前期工作。</w:t>
            </w:r>
          </w:p>
          <w:p w:rsidR="00C53883" w:rsidRDefault="00E507F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4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经测算并结合公司披露的信息，公司的吨垃圾发电量和厂用电率在业内较为领先，请问这主要原因是？</w:t>
            </w:r>
          </w:p>
          <w:p w:rsidR="00C53883" w:rsidRDefault="00E507F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回</w:t>
            </w:r>
            <w:r w:rsidRPr="0030304D">
              <w:rPr>
                <w:rFonts w:ascii="仿宋" w:eastAsia="仿宋" w:hAnsi="仿宋" w:hint="eastAsia"/>
                <w:sz w:val="24"/>
                <w:szCs w:val="24"/>
              </w:rPr>
              <w:t>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8B16F2" w:rsidRPr="008B16F2">
              <w:rPr>
                <w:rFonts w:ascii="仿宋" w:eastAsia="仿宋" w:hAnsi="仿宋" w:hint="eastAsia"/>
                <w:sz w:val="24"/>
                <w:szCs w:val="24"/>
              </w:rPr>
              <w:t>感谢您对公司的关注</w:t>
            </w:r>
            <w:r w:rsidR="008B16F2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公司</w:t>
            </w:r>
            <w:r w:rsidRPr="0030304D">
              <w:rPr>
                <w:rFonts w:ascii="仿宋" w:eastAsia="仿宋" w:hAnsi="仿宋" w:hint="eastAsia"/>
                <w:sz w:val="24"/>
                <w:szCs w:val="24"/>
              </w:rPr>
              <w:t>领先的技术水平及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较</w:t>
            </w:r>
            <w:r w:rsidRPr="0030304D">
              <w:rPr>
                <w:rFonts w:ascii="仿宋" w:eastAsia="仿宋" w:hAnsi="仿宋" w:hint="eastAsia"/>
                <w:sz w:val="24"/>
                <w:szCs w:val="24"/>
              </w:rPr>
              <w:t>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的运营管理水平是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吨发及厂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用电率业内领先的主要原因。在</w:t>
            </w:r>
            <w:r w:rsidRPr="0030304D">
              <w:rPr>
                <w:rFonts w:ascii="仿宋" w:eastAsia="仿宋" w:hAnsi="仿宋" w:hint="eastAsia"/>
                <w:sz w:val="24"/>
                <w:szCs w:val="24"/>
              </w:rPr>
              <w:t>规模相当、项目条件类似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的情况下，较高的</w:t>
            </w:r>
            <w:r w:rsidRPr="0030304D">
              <w:rPr>
                <w:rFonts w:ascii="仿宋" w:eastAsia="仿宋" w:hAnsi="仿宋" w:hint="eastAsia"/>
                <w:sz w:val="24"/>
                <w:szCs w:val="24"/>
              </w:rPr>
              <w:t>技术水平、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运营管理水平可以有效提高生产经营效率。</w:t>
            </w:r>
            <w:r w:rsidRPr="0030304D">
              <w:rPr>
                <w:rFonts w:ascii="仿宋" w:eastAsia="仿宋" w:hAnsi="仿宋" w:hint="eastAsia"/>
                <w:sz w:val="24"/>
                <w:szCs w:val="24"/>
              </w:rPr>
              <w:t>三峰环境相关经验指标领先，体现了多年的技术积累、运营经验积累形成的核心优势。</w:t>
            </w:r>
          </w:p>
          <w:p w:rsidR="00C53883" w:rsidRDefault="00E507F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重庆地区生活垃圾热值和上海、浙江等地接近吗？</w:t>
            </w:r>
          </w:p>
          <w:p w:rsidR="00C53883" w:rsidRDefault="00E507F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回</w:t>
            </w:r>
            <w:r w:rsidRPr="0030304D">
              <w:rPr>
                <w:rFonts w:ascii="仿宋" w:eastAsia="仿宋" w:hAnsi="仿宋" w:hint="eastAsia"/>
                <w:sz w:val="24"/>
                <w:szCs w:val="24"/>
              </w:rPr>
              <w:t>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8B16F2" w:rsidRPr="008B16F2">
              <w:rPr>
                <w:rFonts w:ascii="仿宋" w:eastAsia="仿宋" w:hAnsi="仿宋" w:hint="eastAsia"/>
                <w:sz w:val="24"/>
                <w:szCs w:val="24"/>
              </w:rPr>
              <w:t>感谢您对公司的关注</w:t>
            </w:r>
            <w:r w:rsidR="008B16F2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城市生活垃圾热值受到当地经济状况、生产生活习惯、气候及季节等多重因素影响，大型、超大型城市区域内各具体片区生活垃圾情况复杂，目前暂未有准确数据进行对比分析。</w:t>
            </w:r>
            <w:r w:rsidRPr="0030304D">
              <w:rPr>
                <w:rFonts w:ascii="仿宋" w:eastAsia="仿宋" w:hAnsi="仿宋" w:hint="eastAsia"/>
                <w:sz w:val="24"/>
                <w:szCs w:val="24"/>
              </w:rPr>
              <w:t>总体来看，经济越发达、生活水平越高的地方，垃圾热值相对较高。</w:t>
            </w:r>
          </w:p>
          <w:p w:rsidR="00C53883" w:rsidRDefault="00E507F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公司目前综合融资成本是多少？</w:t>
            </w:r>
          </w:p>
          <w:p w:rsidR="00C53883" w:rsidRDefault="00E507F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回</w:t>
            </w:r>
            <w:r w:rsidRPr="00E507F0">
              <w:rPr>
                <w:rFonts w:ascii="仿宋" w:eastAsia="仿宋" w:hAnsi="仿宋" w:hint="eastAsia"/>
                <w:sz w:val="24"/>
                <w:szCs w:val="24"/>
              </w:rPr>
              <w:t>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8B16F2" w:rsidRPr="008B16F2">
              <w:rPr>
                <w:rFonts w:ascii="仿宋" w:eastAsia="仿宋" w:hAnsi="仿宋" w:hint="eastAsia"/>
                <w:sz w:val="24"/>
                <w:szCs w:val="24"/>
              </w:rPr>
              <w:t>感谢您对公司的关注</w:t>
            </w:r>
            <w:r w:rsidR="008B16F2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截至目前，公司的主要融资方式有IPO发行股票融资及银行贷款融资。目前公司银行贷款融资成本不超过同期银行贷款基准利率。</w:t>
            </w:r>
          </w:p>
        </w:tc>
      </w:tr>
      <w:tr w:rsidR="00C53883">
        <w:trPr>
          <w:trHeight w:val="1119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83" w:rsidRDefault="00E507F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附件清单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83" w:rsidRDefault="00E507F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无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83" w:rsidRDefault="00E507F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日期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83" w:rsidRDefault="00E507F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2020年9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>15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C53883" w:rsidRDefault="00C53883"/>
    <w:p w:rsidR="00C53883" w:rsidRDefault="00C53883"/>
    <w:sectPr w:rsidR="00C53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方正仿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83"/>
    <w:rsid w:val="00013BAF"/>
    <w:rsid w:val="002E08C7"/>
    <w:rsid w:val="0030304D"/>
    <w:rsid w:val="005A2747"/>
    <w:rsid w:val="008B16F2"/>
    <w:rsid w:val="00C53883"/>
    <w:rsid w:val="00E5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125283-5DD7-488C-AC91-3792A479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rPr>
      <w:sz w:val="18"/>
      <w:szCs w:val="18"/>
    </w:rPr>
  </w:style>
  <w:style w:type="paragraph" w:styleId="a6">
    <w:name w:val="header"/>
    <w:basedOn w:val="a"/>
    <w:link w:val="a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Pr>
      <w:sz w:val="18"/>
      <w:szCs w:val="18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cseg</dc:creator>
  <cp:lastModifiedBy>朱用</cp:lastModifiedBy>
  <cp:revision>22</cp:revision>
  <cp:lastPrinted>2020-07-07T10:13:00Z</cp:lastPrinted>
  <dcterms:created xsi:type="dcterms:W3CDTF">2020-07-07T14:33:00Z</dcterms:created>
  <dcterms:modified xsi:type="dcterms:W3CDTF">2020-09-15T14:46:00Z</dcterms:modified>
</cp:coreProperties>
</file>