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8E1E" w14:textId="77777777" w:rsidR="00BF31AA" w:rsidRDefault="00E67A30">
      <w:pPr>
        <w:spacing w:line="360" w:lineRule="auto"/>
        <w:rPr>
          <w:rFonts w:eastAsia="等线"/>
        </w:rPr>
      </w:pPr>
      <w:r>
        <w:t>证券代码：</w:t>
      </w:r>
      <w:r>
        <w:t xml:space="preserve">688520                                               </w:t>
      </w:r>
      <w:r>
        <w:t>证券简称：神州细胞</w:t>
      </w:r>
    </w:p>
    <w:p w14:paraId="185BD976" w14:textId="77777777" w:rsidR="00BF31AA" w:rsidRDefault="00E67A30">
      <w:pPr>
        <w:spacing w:beforeLines="100" w:before="312"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北京神州细胞生物技术集团股份公司</w:t>
      </w:r>
    </w:p>
    <w:p w14:paraId="16B23F10" w14:textId="77777777" w:rsidR="00BF31AA" w:rsidRDefault="00E67A30">
      <w:pPr>
        <w:spacing w:afterLines="50" w:after="156"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投资者关系活动记录</w:t>
      </w:r>
      <w:r>
        <w:rPr>
          <w:rFonts w:eastAsia="黑体" w:hint="eastAsia"/>
          <w:b/>
          <w:sz w:val="30"/>
          <w:szCs w:val="30"/>
        </w:rPr>
        <w:t>汇总</w:t>
      </w:r>
      <w:r>
        <w:rPr>
          <w:rFonts w:eastAsia="黑体"/>
          <w:b/>
          <w:sz w:val="30"/>
          <w:szCs w:val="30"/>
        </w:rPr>
        <w:t>表</w:t>
      </w:r>
    </w:p>
    <w:p w14:paraId="4F2A0F52" w14:textId="18B4DD01" w:rsidR="00BF31AA" w:rsidRDefault="00E67A30">
      <w:pPr>
        <w:spacing w:afterLines="50" w:after="156" w:line="240" w:lineRule="auto"/>
        <w:jc w:val="center"/>
        <w:rPr>
          <w:b/>
          <w:bCs/>
          <w:szCs w:val="24"/>
        </w:rPr>
      </w:pPr>
      <w:r>
        <w:rPr>
          <w:rFonts w:eastAsia="黑体" w:hint="eastAsia"/>
          <w:b/>
          <w:bCs/>
          <w:szCs w:val="24"/>
        </w:rPr>
        <w:t>（</w:t>
      </w:r>
      <w:r>
        <w:rPr>
          <w:rFonts w:eastAsia="黑体" w:hint="eastAsia"/>
          <w:b/>
          <w:bCs/>
          <w:szCs w:val="24"/>
        </w:rPr>
        <w:t>202</w:t>
      </w:r>
      <w:r w:rsidR="00985FF8">
        <w:rPr>
          <w:rFonts w:eastAsia="黑体"/>
          <w:b/>
          <w:bCs/>
          <w:szCs w:val="24"/>
        </w:rPr>
        <w:t>1</w:t>
      </w:r>
      <w:r>
        <w:rPr>
          <w:rFonts w:eastAsia="黑体" w:hint="eastAsia"/>
          <w:b/>
          <w:bCs/>
          <w:szCs w:val="24"/>
        </w:rPr>
        <w:t>年</w:t>
      </w:r>
      <w:r w:rsidR="009646DF">
        <w:rPr>
          <w:rFonts w:eastAsia="黑体"/>
          <w:b/>
          <w:bCs/>
          <w:szCs w:val="24"/>
        </w:rPr>
        <w:t>2</w:t>
      </w:r>
      <w:r>
        <w:rPr>
          <w:rFonts w:eastAsia="黑体" w:hint="eastAsia"/>
          <w:b/>
          <w:bCs/>
          <w:szCs w:val="24"/>
        </w:rPr>
        <w:t>月）</w:t>
      </w:r>
    </w:p>
    <w:tbl>
      <w:tblPr>
        <w:tblStyle w:val="TableGrid"/>
        <w:tblW w:w="5046" w:type="pct"/>
        <w:tblInd w:w="0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549"/>
        <w:gridCol w:w="8277"/>
      </w:tblGrid>
      <w:tr w:rsidR="00BF31AA" w14:paraId="45CA47F2" w14:textId="77777777">
        <w:trPr>
          <w:trHeight w:val="2041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93B5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投资者关系</w:t>
            </w:r>
          </w:p>
          <w:p w14:paraId="14215535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活动类别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8C8C" w14:textId="77777777" w:rsidR="00BF31AA" w:rsidRDefault="00E67A30">
            <w:pPr>
              <w:spacing w:line="360" w:lineRule="auto"/>
            </w:pPr>
            <w:r>
              <w:sym w:font="Wingdings 2" w:char="F052"/>
            </w:r>
            <w:r>
              <w:t>特定对象调研</w:t>
            </w:r>
            <w:r>
              <w:t xml:space="preserve">         </w:t>
            </w:r>
            <w:r>
              <w:sym w:font="Wingdings 2" w:char="F0A3"/>
            </w:r>
            <w:r>
              <w:t>分析师会议</w:t>
            </w:r>
          </w:p>
          <w:p w14:paraId="57F2BCD6" w14:textId="77777777" w:rsidR="00BF31AA" w:rsidRDefault="00E67A30">
            <w:pPr>
              <w:spacing w:line="360" w:lineRule="auto"/>
            </w:pPr>
            <w:r>
              <w:sym w:font="Wingdings 2" w:char="F0A3"/>
            </w:r>
            <w:r>
              <w:t>媒体采访</w:t>
            </w:r>
            <w:r>
              <w:t xml:space="preserve">             </w:t>
            </w:r>
            <w:r>
              <w:sym w:font="Wingdings 2" w:char="F0A3"/>
            </w:r>
            <w:r>
              <w:t>业绩说明会</w:t>
            </w:r>
          </w:p>
          <w:p w14:paraId="16433FC0" w14:textId="77777777" w:rsidR="00BF31AA" w:rsidRDefault="00E67A30">
            <w:pPr>
              <w:spacing w:line="360" w:lineRule="auto"/>
            </w:pPr>
            <w:r>
              <w:sym w:font="Wingdings 2" w:char="F0A3"/>
            </w:r>
            <w:r>
              <w:t>新闻发布会</w:t>
            </w:r>
            <w:r>
              <w:t xml:space="preserve">           </w:t>
            </w:r>
            <w:r>
              <w:sym w:font="Wingdings 2" w:char="F0A3"/>
            </w:r>
            <w:r>
              <w:t>路演活动</w:t>
            </w:r>
          </w:p>
          <w:p w14:paraId="2CF172B5" w14:textId="77777777" w:rsidR="00BF31AA" w:rsidRDefault="00E67A30">
            <w:pPr>
              <w:spacing w:line="360" w:lineRule="auto"/>
            </w:pPr>
            <w:r>
              <w:sym w:font="Wingdings 2" w:char="F0A3"/>
            </w:r>
            <w:r>
              <w:t>现场参观</w:t>
            </w:r>
            <w:r>
              <w:t xml:space="preserve">             </w:t>
            </w:r>
            <w:r>
              <w:sym w:font="Wingdings 2" w:char="F0A3"/>
            </w:r>
            <w:r>
              <w:t>其他</w:t>
            </w:r>
            <w:r>
              <w:rPr>
                <w:u w:val="single"/>
              </w:rPr>
              <w:t xml:space="preserve">             </w:t>
            </w:r>
            <w:r>
              <w:t xml:space="preserve">    </w:t>
            </w:r>
          </w:p>
        </w:tc>
      </w:tr>
      <w:tr w:rsidR="00BF31AA" w14:paraId="7F66F3C8" w14:textId="77777777">
        <w:trPr>
          <w:trHeight w:val="340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5590" w14:textId="0C25E914" w:rsidR="00BF31AA" w:rsidRDefault="00E67A30" w:rsidP="009023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参与单位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16EB" w14:textId="31058073" w:rsidR="00BF31AA" w:rsidRPr="00577BDF" w:rsidRDefault="00E67A30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02</w:t>
            </w:r>
            <w:r w:rsidR="00985FF8">
              <w:rPr>
                <w:bCs/>
              </w:rPr>
              <w:t>1</w:t>
            </w:r>
            <w:r>
              <w:rPr>
                <w:rFonts w:hint="eastAsia"/>
                <w:bCs/>
              </w:rPr>
              <w:t>年</w:t>
            </w:r>
            <w:r w:rsidR="002867FE">
              <w:rPr>
                <w:bCs/>
              </w:rPr>
              <w:t>2</w:t>
            </w:r>
            <w:r>
              <w:rPr>
                <w:rFonts w:hint="eastAsia"/>
                <w:bCs/>
              </w:rPr>
              <w:t>月</w:t>
            </w:r>
            <w:r w:rsidR="002867FE">
              <w:rPr>
                <w:bCs/>
              </w:rPr>
              <w:t>22</w:t>
            </w:r>
            <w:r>
              <w:rPr>
                <w:rFonts w:hint="eastAsia"/>
                <w:bCs/>
              </w:rPr>
              <w:t>日：</w:t>
            </w:r>
            <w:r w:rsidR="002867FE">
              <w:rPr>
                <w:rFonts w:hint="eastAsia"/>
                <w:szCs w:val="24"/>
              </w:rPr>
              <w:t>首创证券魏海典、知点投资张啸</w:t>
            </w:r>
          </w:p>
        </w:tc>
      </w:tr>
      <w:tr w:rsidR="00BF31AA" w14:paraId="317A0D72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4BA0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F84A" w14:textId="79469CF7" w:rsidR="00BF31AA" w:rsidRDefault="00E67A30">
            <w:pPr>
              <w:spacing w:line="360" w:lineRule="auto"/>
            </w:pPr>
            <w:r>
              <w:t>202</w:t>
            </w:r>
            <w:r w:rsidR="00985FF8">
              <w:t>1</w:t>
            </w:r>
            <w:r>
              <w:rPr>
                <w:rFonts w:hint="eastAsia"/>
              </w:rPr>
              <w:t>年</w:t>
            </w:r>
            <w:r w:rsidR="002867FE">
              <w:t>2</w:t>
            </w:r>
            <w:r>
              <w:rPr>
                <w:rFonts w:hint="eastAsia"/>
              </w:rPr>
              <w:t>月</w:t>
            </w:r>
          </w:p>
        </w:tc>
      </w:tr>
      <w:tr w:rsidR="00BF31AA" w14:paraId="50A2ABFD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8ABC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参会方式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0A3E" w14:textId="541F4F25" w:rsidR="00BF31AA" w:rsidRDefault="002867FE">
            <w:pPr>
              <w:spacing w:line="360" w:lineRule="auto"/>
            </w:pPr>
            <w:r>
              <w:rPr>
                <w:rFonts w:hint="eastAsia"/>
                <w:szCs w:val="24"/>
              </w:rPr>
              <w:t>现场</w:t>
            </w:r>
            <w:r w:rsidR="001F1686">
              <w:rPr>
                <w:rFonts w:hint="eastAsia"/>
                <w:szCs w:val="24"/>
              </w:rPr>
              <w:t>调研</w:t>
            </w:r>
          </w:p>
        </w:tc>
      </w:tr>
      <w:tr w:rsidR="00BF31AA" w14:paraId="660C7C0A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DCFC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接待人员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5B62" w14:textId="121B80EE" w:rsidR="00BF31AA" w:rsidRDefault="00E67A30">
            <w:pPr>
              <w:spacing w:line="360" w:lineRule="auto"/>
            </w:pPr>
            <w:r>
              <w:rPr>
                <w:rFonts w:hint="eastAsia"/>
              </w:rPr>
              <w:t>唐黎明</w:t>
            </w:r>
            <w:r>
              <w:t>（</w:t>
            </w:r>
            <w:r>
              <w:rPr>
                <w:rFonts w:hint="eastAsia"/>
              </w:rPr>
              <w:t>董事、</w:t>
            </w:r>
            <w:r>
              <w:t>副总经理</w:t>
            </w:r>
            <w:r>
              <w:rPr>
                <w:rFonts w:hint="eastAsia"/>
              </w:rPr>
              <w:t>、</w:t>
            </w:r>
            <w:r>
              <w:t>董事会秘书）</w:t>
            </w:r>
            <w:r>
              <w:rPr>
                <w:rFonts w:hint="eastAsia"/>
              </w:rPr>
              <w:t>、曾彦（证券事务代表）</w:t>
            </w:r>
          </w:p>
        </w:tc>
      </w:tr>
      <w:tr w:rsidR="00BF31AA" w14:paraId="61434978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89BE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投资者关系</w:t>
            </w:r>
          </w:p>
          <w:p w14:paraId="7153F17F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活动主要</w:t>
            </w:r>
          </w:p>
          <w:p w14:paraId="3C648D2C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内容介绍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DCD8" w14:textId="77777777" w:rsidR="002867FE" w:rsidRDefault="002867FE" w:rsidP="002867FE">
            <w:pPr>
              <w:pStyle w:val="af1"/>
              <w:numPr>
                <w:ilvl w:val="0"/>
                <w:numId w:val="1"/>
              </w:numPr>
              <w:spacing w:beforeLines="20" w:before="62" w:line="300" w:lineRule="auto"/>
              <w:ind w:rightChars="50" w:right="120" w:firstLineChars="0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公司介绍环节</w:t>
            </w:r>
          </w:p>
          <w:p w14:paraId="2C700F1B" w14:textId="77777777" w:rsidR="002867FE" w:rsidRDefault="002867FE" w:rsidP="002867FE">
            <w:pPr>
              <w:pStyle w:val="af3"/>
              <w:ind w:right="120"/>
            </w:pPr>
            <w:r>
              <w:rPr>
                <w:rFonts w:hint="eastAsia"/>
              </w:rPr>
              <w:t>公司创始人谢博士是国际知名的生物制药专家，美国麻省理工学院生物化工专业博士，曾首创化学计量控制的动物细胞高密度流加工艺技术，奠定了现代生物药生产工艺的基础。谢博士于</w:t>
            </w:r>
            <w:r>
              <w:t>1996</w:t>
            </w:r>
            <w:r>
              <w:rPr>
                <w:rFonts w:hint="eastAsia"/>
              </w:rPr>
              <w:t>年加入美国默克公司，从事病毒疫苗的工艺开发工作。</w:t>
            </w:r>
            <w:r>
              <w:t>2002</w:t>
            </w:r>
            <w:r>
              <w:rPr>
                <w:rFonts w:hint="eastAsia"/>
              </w:rPr>
              <w:t>年，谢博士回国创业，经过十多年的生物制药技术积累和创新，公司已建立覆盖生物药研发和生产全链条的高效率、高通量技术平台，并自主研发了多样化及具有特色的单克隆抗体、重组蛋白、疫苗等生物药产品管线。基于这些平台，公司再根据自身技术平台能力和优势、临床需求和生物药未来发展趋势确定产品研发方向，制定研发策略。</w:t>
            </w:r>
          </w:p>
          <w:p w14:paraId="620040F8" w14:textId="77777777" w:rsidR="002867FE" w:rsidRDefault="002867FE" w:rsidP="002867FE">
            <w:pPr>
              <w:rPr>
                <w:b/>
                <w:bCs/>
                <w:szCs w:val="24"/>
              </w:rPr>
            </w:pPr>
          </w:p>
          <w:p w14:paraId="3EC952D8" w14:textId="77777777" w:rsidR="002867FE" w:rsidRDefault="002867FE" w:rsidP="002867FE">
            <w:pPr>
              <w:spacing w:beforeLines="20" w:before="62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二、问答交流环节</w:t>
            </w:r>
          </w:p>
          <w:p w14:paraId="4C0FA6C5" w14:textId="77777777" w:rsidR="002867FE" w:rsidRDefault="002867FE" w:rsidP="002867FE">
            <w:pPr>
              <w:spacing w:beforeLines="20" w:before="6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  <w:r>
              <w:rPr>
                <w:rFonts w:hint="eastAsia"/>
                <w:b/>
                <w:bCs/>
                <w:szCs w:val="24"/>
              </w:rPr>
              <w:t>：公司即将商业化的两个产品</w:t>
            </w:r>
            <w:r>
              <w:rPr>
                <w:b/>
                <w:bCs/>
                <w:szCs w:val="24"/>
              </w:rPr>
              <w:t>SCT800</w:t>
            </w:r>
            <w:r>
              <w:rPr>
                <w:rFonts w:hint="eastAsia"/>
                <w:b/>
                <w:bCs/>
                <w:szCs w:val="24"/>
              </w:rPr>
              <w:t>、</w:t>
            </w:r>
            <w:r>
              <w:rPr>
                <w:b/>
                <w:bCs/>
                <w:szCs w:val="24"/>
              </w:rPr>
              <w:t>SCT400</w:t>
            </w:r>
            <w:r>
              <w:rPr>
                <w:rFonts w:hint="eastAsia"/>
                <w:b/>
                <w:bCs/>
                <w:szCs w:val="24"/>
              </w:rPr>
              <w:t>的最新进展如何</w:t>
            </w:r>
            <w:r>
              <w:rPr>
                <w:b/>
                <w:bCs/>
                <w:szCs w:val="24"/>
              </w:rPr>
              <w:t>?SCT1000</w:t>
            </w:r>
            <w:r>
              <w:rPr>
                <w:rFonts w:hint="eastAsia"/>
                <w:b/>
                <w:bCs/>
                <w:szCs w:val="24"/>
              </w:rPr>
              <w:t>的临床研发计划及最新进展情况？</w:t>
            </w:r>
          </w:p>
          <w:p w14:paraId="0F7D9F9F" w14:textId="77777777" w:rsidR="002867FE" w:rsidRDefault="002867FE" w:rsidP="002867F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</w:t>
            </w:r>
            <w:r>
              <w:rPr>
                <w:rFonts w:hint="eastAsia"/>
                <w:bCs/>
                <w:szCs w:val="24"/>
              </w:rPr>
              <w:t>：</w:t>
            </w:r>
            <w:r>
              <w:rPr>
                <w:bCs/>
                <w:szCs w:val="24"/>
              </w:rPr>
              <w:t>SCT800</w:t>
            </w:r>
            <w:r>
              <w:rPr>
                <w:rFonts w:hint="eastAsia"/>
                <w:bCs/>
                <w:szCs w:val="24"/>
              </w:rPr>
              <w:t>目前正在开展生产现场核查工作，</w:t>
            </w:r>
            <w:r>
              <w:rPr>
                <w:bCs/>
                <w:szCs w:val="24"/>
              </w:rPr>
              <w:t>SCT400</w:t>
            </w:r>
            <w:r>
              <w:rPr>
                <w:rFonts w:hint="eastAsia"/>
                <w:bCs/>
                <w:szCs w:val="24"/>
              </w:rPr>
              <w:t>也已收到现场核查通知，会根据</w:t>
            </w:r>
            <w:r>
              <w:rPr>
                <w:bCs/>
                <w:szCs w:val="24"/>
              </w:rPr>
              <w:t>SCT800</w:t>
            </w:r>
            <w:r>
              <w:rPr>
                <w:rFonts w:hint="eastAsia"/>
                <w:bCs/>
                <w:szCs w:val="24"/>
              </w:rPr>
              <w:t>核查工作的进度统筹安排。如一切顺利，这两个产品预计都将在今年上市。此外，</w:t>
            </w:r>
            <w:r>
              <w:rPr>
                <w:bCs/>
                <w:szCs w:val="24"/>
              </w:rPr>
              <w:t>SCT800</w:t>
            </w:r>
            <w:r>
              <w:rPr>
                <w:rFonts w:hint="eastAsia"/>
                <w:bCs/>
                <w:szCs w:val="24"/>
              </w:rPr>
              <w:t>的国际临床工作也在积极筹备中。</w:t>
            </w:r>
            <w:r>
              <w:rPr>
                <w:bCs/>
                <w:szCs w:val="24"/>
              </w:rPr>
              <w:t>SCT1000</w:t>
            </w:r>
            <w:r>
              <w:rPr>
                <w:rFonts w:hint="eastAsia"/>
                <w:bCs/>
                <w:szCs w:val="24"/>
              </w:rPr>
              <w:t>也在积</w:t>
            </w:r>
            <w:r>
              <w:rPr>
                <w:rFonts w:hint="eastAsia"/>
                <w:bCs/>
                <w:szCs w:val="24"/>
              </w:rPr>
              <w:lastRenderedPageBreak/>
              <w:t>极筹备临床。</w:t>
            </w:r>
          </w:p>
          <w:p w14:paraId="6161583F" w14:textId="77777777" w:rsidR="002867FE" w:rsidRDefault="002867FE" w:rsidP="002867FE">
            <w:pPr>
              <w:rPr>
                <w:b/>
                <w:bCs/>
                <w:szCs w:val="24"/>
              </w:rPr>
            </w:pPr>
          </w:p>
          <w:p w14:paraId="6E835FA5" w14:textId="77777777" w:rsidR="002867FE" w:rsidRDefault="002867FE" w:rsidP="002867F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  <w:r>
              <w:rPr>
                <w:rFonts w:hint="eastAsia"/>
                <w:b/>
                <w:bCs/>
                <w:szCs w:val="24"/>
              </w:rPr>
              <w:t>：公司产品布局较广，是基于什么样的研发策略？</w:t>
            </w:r>
          </w:p>
          <w:p w14:paraId="40F93953" w14:textId="77777777" w:rsidR="002867FE" w:rsidRDefault="002867FE" w:rsidP="002867FE">
            <w:r>
              <w:t>A</w:t>
            </w:r>
            <w:r>
              <w:rPr>
                <w:rFonts w:hint="eastAsia"/>
              </w:rPr>
              <w:t>：公司产品研发在单克隆抗体、重组蛋白、疫苗等多个类别都有布局，但这是基于自身技术和成本优势确立的研发策略：公司产品一类是单药单产品，如</w:t>
            </w:r>
            <w:r>
              <w:t>SCT800</w:t>
            </w:r>
            <w:r>
              <w:rPr>
                <w:rFonts w:hint="eastAsia"/>
              </w:rPr>
              <w:t>和</w:t>
            </w:r>
            <w:r>
              <w:t>SCT1000</w:t>
            </w:r>
            <w:r>
              <w:rPr>
                <w:rFonts w:hint="eastAsia"/>
              </w:rPr>
              <w:t>，公司立项时考虑通过公司技术能力，解决产品和市场的痛点问题，从而使公司取得市场竞争优势；另一类是抗体类药物，公司自主研发的方向一是肿瘤，二是自免性疾病。公司认为未来肿瘤类药物的发展方向是多个机制的抗体药物的联用，所以围绕“免疫类</w:t>
            </w:r>
            <w:r>
              <w:t>+</w:t>
            </w:r>
            <w:r>
              <w:rPr>
                <w:rFonts w:hint="eastAsia"/>
              </w:rPr>
              <w:t>靶向性抗体</w:t>
            </w:r>
            <w:r>
              <w:t>+</w:t>
            </w:r>
            <w:r>
              <w:rPr>
                <w:rFonts w:hint="eastAsia"/>
              </w:rPr>
              <w:t>血管抑制剂”的组合来进行产品开发，并以推进多抗体产品联合治疗癌症作为未来的临床研究主要方向；自免方面，主要围绕</w:t>
            </w:r>
            <w:r>
              <w:t>TNF-</w:t>
            </w:r>
            <w:r>
              <w:rPr>
                <w:rFonts w:hint="eastAsia"/>
              </w:rPr>
              <w:t>α和</w:t>
            </w:r>
            <w:r>
              <w:t>IL-17</w:t>
            </w:r>
            <w:r>
              <w:rPr>
                <w:rFonts w:hint="eastAsia"/>
              </w:rPr>
              <w:t>等有效靶点，布局生物类似药和新药。</w:t>
            </w:r>
          </w:p>
          <w:p w14:paraId="3418ECB6" w14:textId="77777777" w:rsidR="002867FE" w:rsidRDefault="002867FE" w:rsidP="002867FE"/>
          <w:p w14:paraId="3B3DC780" w14:textId="77777777" w:rsidR="002867FE" w:rsidRDefault="002867FE" w:rsidP="002867F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  <w:r>
              <w:rPr>
                <w:rFonts w:hint="eastAsia"/>
                <w:b/>
                <w:bCs/>
                <w:szCs w:val="24"/>
              </w:rPr>
              <w:t>：最近生物类似药即将纳入集采的新闻很多，公司在生物类似药方面的布局如何？请结合公司的开发逻辑和竞争策略，谈一谈公司对生物类似药纳入集采的态度及应对策略。</w:t>
            </w:r>
          </w:p>
          <w:p w14:paraId="4C1B5AFB" w14:textId="77777777" w:rsidR="002867FE" w:rsidRDefault="002867FE" w:rsidP="002867FE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>
              <w:rPr>
                <w:rFonts w:hint="eastAsia"/>
                <w:szCs w:val="24"/>
              </w:rPr>
              <w:t>：公司目前有两款生物类似药在研产品，即</w:t>
            </w:r>
            <w:r>
              <w:rPr>
                <w:szCs w:val="24"/>
              </w:rPr>
              <w:t>SCT510</w:t>
            </w:r>
            <w:r>
              <w:rPr>
                <w:rFonts w:hint="eastAsia"/>
                <w:szCs w:val="24"/>
              </w:rPr>
              <w:t>和</w:t>
            </w:r>
            <w:r>
              <w:rPr>
                <w:szCs w:val="24"/>
              </w:rPr>
              <w:t>SCT630</w:t>
            </w:r>
            <w:r>
              <w:rPr>
                <w:rFonts w:hint="eastAsia"/>
                <w:szCs w:val="24"/>
              </w:rPr>
              <w:t>，均已完成</w:t>
            </w:r>
            <w:r>
              <w:rPr>
                <w:szCs w:val="24"/>
              </w:rPr>
              <w:t>I</w:t>
            </w:r>
            <w:r>
              <w:rPr>
                <w:rFonts w:hint="eastAsia"/>
                <w:szCs w:val="24"/>
              </w:rPr>
              <w:t>期临床研究，同时正在进行</w:t>
            </w:r>
            <w:r>
              <w:rPr>
                <w:szCs w:val="24"/>
              </w:rPr>
              <w:t>III</w:t>
            </w:r>
            <w:r>
              <w:rPr>
                <w:rFonts w:hint="eastAsia"/>
                <w:szCs w:val="24"/>
              </w:rPr>
              <w:t>期临床研究。我们认为，参考化药带量采购的现状以及国家最新出台相关政策的指向意义，生物类似药纳入带量采购是大势所趋，未来生物类似药的竞争将更多的集中在生产成本上。因此，如何优化生物类似药的生产工艺，控制生产成本，增加产量，从而在产品售价方面取得竞争优势，将长期决定生物类似药的竞争力。我们将充分发挥生产工艺和产能方面的优势，努力通过降低生产成本、增加产品渗透率来参与市场竞争，向市场提供质量稳定、价格合理的生物药产品，不断提高产品的可及性。</w:t>
            </w:r>
          </w:p>
          <w:p w14:paraId="507E3516" w14:textId="77777777" w:rsidR="002867FE" w:rsidRDefault="002867FE" w:rsidP="002867FE">
            <w:pPr>
              <w:pStyle w:val="af3"/>
              <w:ind w:right="120" w:firstLineChars="0" w:firstLine="0"/>
            </w:pPr>
          </w:p>
          <w:p w14:paraId="14C76808" w14:textId="77777777" w:rsidR="002867FE" w:rsidRDefault="002867FE" w:rsidP="002867FE">
            <w:pPr>
              <w:pStyle w:val="af3"/>
              <w:ind w:right="120" w:firstLineChars="0" w:firstLine="0"/>
              <w:rPr>
                <w:b/>
                <w:bCs/>
              </w:rPr>
            </w:pPr>
            <w:r>
              <w:rPr>
                <w:b/>
                <w:bCs/>
              </w:rPr>
              <w:t>Q4</w:t>
            </w:r>
            <w:r>
              <w:rPr>
                <w:rFonts w:hint="eastAsia"/>
                <w:b/>
                <w:bCs/>
              </w:rPr>
              <w:t>：本次定增的规模如何？募集资金拟主要投入项目？</w:t>
            </w:r>
          </w:p>
          <w:p w14:paraId="40EEC8FB" w14:textId="77777777" w:rsidR="002867FE" w:rsidRDefault="002867FE" w:rsidP="002867FE">
            <w:pPr>
              <w:pStyle w:val="af3"/>
              <w:ind w:right="120" w:firstLineChars="0" w:firstLine="0"/>
            </w:pPr>
            <w:r>
              <w:t>A</w:t>
            </w:r>
            <w:r>
              <w:rPr>
                <w:rFonts w:hint="eastAsia"/>
              </w:rPr>
              <w:t>：公司本次定增拟发行股票数量将不超过发行前公司总股本的</w:t>
            </w:r>
            <w:r>
              <w:t>20%</w:t>
            </w:r>
            <w:r>
              <w:rPr>
                <w:rFonts w:hint="eastAsia"/>
              </w:rPr>
              <w:t>，即本次发行不超过</w:t>
            </w:r>
            <w:r>
              <w:t>87,067,142</w:t>
            </w:r>
            <w:r>
              <w:rPr>
                <w:rFonts w:hint="eastAsia"/>
              </w:rPr>
              <w:t>股，总额不超过</w:t>
            </w:r>
            <w:r>
              <w:t>396,073.70</w:t>
            </w:r>
            <w:r>
              <w:rPr>
                <w:rFonts w:hint="eastAsia"/>
              </w:rPr>
              <w:t>万元人民币，实际发行股数将在拟发行股数上限内，结合最终发行价格确定。募集资金将投入（</w:t>
            </w:r>
            <w:r>
              <w:t>1</w:t>
            </w:r>
            <w:r>
              <w:rPr>
                <w:rFonts w:hint="eastAsia"/>
              </w:rPr>
              <w:t>）新药研发项目，（</w:t>
            </w:r>
            <w:r>
              <w:t>2</w:t>
            </w:r>
            <w:r>
              <w:rPr>
                <w:rFonts w:hint="eastAsia"/>
              </w:rPr>
              <w:t>）营销网络建设项目，以及（</w:t>
            </w:r>
            <w:r>
              <w:t>3</w:t>
            </w:r>
            <w:r>
              <w:rPr>
                <w:rFonts w:hint="eastAsia"/>
              </w:rPr>
              <w:t>）补充流动资金。其中新药研发项目是募投的重点，主要用于正在及拟于近期开展的临床研究项目，包括</w:t>
            </w:r>
            <w:r>
              <w:t>SCT800</w:t>
            </w:r>
            <w:r>
              <w:rPr>
                <w:rFonts w:hint="eastAsia"/>
              </w:rPr>
              <w:t>国际临床、</w:t>
            </w:r>
            <w:r>
              <w:t>SCT-I10A</w:t>
            </w:r>
            <w:r>
              <w:rPr>
                <w:rFonts w:hint="eastAsia"/>
              </w:rPr>
              <w:t>系列临床、</w:t>
            </w:r>
            <w:r>
              <w:t>SCT1000</w:t>
            </w:r>
            <w:r>
              <w:rPr>
                <w:rFonts w:hint="eastAsia"/>
              </w:rPr>
              <w:t>临床、</w:t>
            </w:r>
            <w:r>
              <w:t>SCT510A</w:t>
            </w:r>
            <w:r>
              <w:rPr>
                <w:rFonts w:hint="eastAsia"/>
              </w:rPr>
              <w:t>临床以及</w:t>
            </w:r>
            <w:r>
              <w:t>SCTA01</w:t>
            </w:r>
            <w:r>
              <w:rPr>
                <w:rFonts w:hint="eastAsia"/>
              </w:rPr>
              <w:t>的国际临床等。以上募集资金拟投项目总投资额预计近</w:t>
            </w:r>
            <w:r>
              <w:t>43</w:t>
            </w:r>
            <w:r>
              <w:rPr>
                <w:rFonts w:hint="eastAsia"/>
              </w:rPr>
              <w:t>亿，不足部分由公司以自筹资金解决。</w:t>
            </w:r>
          </w:p>
          <w:p w14:paraId="68B01CAF" w14:textId="77777777" w:rsidR="00BF31AA" w:rsidRPr="002867FE" w:rsidRDefault="00BF31AA"/>
          <w:p w14:paraId="4749475B" w14:textId="77777777" w:rsidR="00BF31AA" w:rsidRDefault="00E67A30">
            <w:pPr>
              <w:ind w:firstLineChars="200" w:firstLine="480"/>
            </w:pPr>
            <w:r>
              <w:rPr>
                <w:rFonts w:hint="eastAsia"/>
              </w:rPr>
              <w:lastRenderedPageBreak/>
              <w:t>接待过程中，公司与调研机构进行了充分的交流与沟通，并严格按照公司《信息披露管理制度》等规定，保证信息披露的真实、准确、完整、及时、公平，没有出现未公开重大信息泄露等情况，同时要求签署调研《承诺书》。</w:t>
            </w:r>
          </w:p>
        </w:tc>
      </w:tr>
      <w:tr w:rsidR="00BF31AA" w14:paraId="2526F5F7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7182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附件清单</w:t>
            </w:r>
          </w:p>
          <w:p w14:paraId="0E1D7E2B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（如有）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DE781" w14:textId="77777777" w:rsidR="00BF31AA" w:rsidRDefault="00E67A30">
            <w:r>
              <w:t>无</w:t>
            </w:r>
          </w:p>
        </w:tc>
      </w:tr>
      <w:tr w:rsidR="00BF31AA" w14:paraId="162FEB66" w14:textId="77777777">
        <w:trPr>
          <w:trHeight w:val="567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BDC0" w14:textId="77777777" w:rsidR="00BF31AA" w:rsidRDefault="00E67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日期</w:t>
            </w:r>
          </w:p>
        </w:tc>
        <w:tc>
          <w:tcPr>
            <w:tcW w:w="4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515C" w14:textId="553E351A" w:rsidR="00BF31AA" w:rsidRDefault="00E67A30">
            <w:r>
              <w:t>202</w:t>
            </w:r>
            <w:r w:rsidR="00985FF8">
              <w:t>1</w:t>
            </w:r>
            <w:r>
              <w:rPr>
                <w:rFonts w:hint="eastAsia"/>
              </w:rPr>
              <w:t>年</w:t>
            </w:r>
            <w:r w:rsidR="002867FE">
              <w:t>2</w:t>
            </w:r>
            <w:r>
              <w:rPr>
                <w:rFonts w:hint="eastAsia"/>
              </w:rPr>
              <w:t>月</w:t>
            </w:r>
          </w:p>
        </w:tc>
      </w:tr>
    </w:tbl>
    <w:p w14:paraId="47666BA4" w14:textId="77777777" w:rsidR="00BF31AA" w:rsidRDefault="00BF31AA"/>
    <w:sectPr w:rsidR="00BF31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586FC" w14:textId="77777777" w:rsidR="00AD6E19" w:rsidRDefault="00AD6E19">
      <w:pPr>
        <w:spacing w:line="240" w:lineRule="auto"/>
      </w:pPr>
      <w:r>
        <w:separator/>
      </w:r>
    </w:p>
  </w:endnote>
  <w:endnote w:type="continuationSeparator" w:id="0">
    <w:p w14:paraId="7372EEDB" w14:textId="77777777" w:rsidR="00AD6E19" w:rsidRDefault="00AD6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3D14" w14:textId="77777777" w:rsidR="00BF31AA" w:rsidRDefault="00BF31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F5BE" w14:textId="77777777" w:rsidR="00BF31AA" w:rsidRDefault="00BF31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93E4" w14:textId="77777777" w:rsidR="001960F4" w:rsidRDefault="00196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1D0E" w14:textId="77777777" w:rsidR="00AD6E19" w:rsidRDefault="00AD6E19">
      <w:pPr>
        <w:spacing w:line="240" w:lineRule="auto"/>
      </w:pPr>
      <w:r>
        <w:separator/>
      </w:r>
    </w:p>
  </w:footnote>
  <w:footnote w:type="continuationSeparator" w:id="0">
    <w:p w14:paraId="14C5D330" w14:textId="77777777" w:rsidR="00AD6E19" w:rsidRDefault="00AD6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04B" w14:textId="77777777" w:rsidR="00BF31AA" w:rsidRDefault="00BF31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0EAF" w14:textId="77777777" w:rsidR="00BF31AA" w:rsidRDefault="00BF3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8029C"/>
    <w:multiLevelType w:val="hybridMultilevel"/>
    <w:tmpl w:val="D85A9894"/>
    <w:lvl w:ilvl="0" w:tplc="8836E98A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AA"/>
    <w:rsid w:val="0002019D"/>
    <w:rsid w:val="001960F4"/>
    <w:rsid w:val="001F1686"/>
    <w:rsid w:val="001F3158"/>
    <w:rsid w:val="002867FE"/>
    <w:rsid w:val="00292B7D"/>
    <w:rsid w:val="002B5ED7"/>
    <w:rsid w:val="0032397E"/>
    <w:rsid w:val="0047197C"/>
    <w:rsid w:val="0049487F"/>
    <w:rsid w:val="0053551C"/>
    <w:rsid w:val="0055626D"/>
    <w:rsid w:val="00577BDF"/>
    <w:rsid w:val="006531E4"/>
    <w:rsid w:val="007104F1"/>
    <w:rsid w:val="00861BA8"/>
    <w:rsid w:val="008D3906"/>
    <w:rsid w:val="008D789D"/>
    <w:rsid w:val="00902328"/>
    <w:rsid w:val="00930F4F"/>
    <w:rsid w:val="00946DA4"/>
    <w:rsid w:val="009646DF"/>
    <w:rsid w:val="00985FF8"/>
    <w:rsid w:val="009E61BE"/>
    <w:rsid w:val="00A70FA0"/>
    <w:rsid w:val="00AD6E19"/>
    <w:rsid w:val="00BF31AA"/>
    <w:rsid w:val="00CA5D5A"/>
    <w:rsid w:val="00D23AED"/>
    <w:rsid w:val="00E3228C"/>
    <w:rsid w:val="00E67A30"/>
    <w:rsid w:val="00F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E7C9D"/>
  <w15:docId w15:val="{968ADD9B-536E-4ED5-9DD1-0A9CC38B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rightChars="50" w:right="120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rightChars="0" w:right="0"/>
      <w:jc w:val="center"/>
      <w:textAlignment w:val="auto"/>
    </w:pPr>
    <w:rPr>
      <w:rFonts w:ascii="等线" w:eastAsia="等线" w:hAnsi="等线" w:cs="宋体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rightChars="0" w:right="0"/>
      <w:jc w:val="left"/>
      <w:textAlignment w:val="auto"/>
    </w:pPr>
    <w:rPr>
      <w:rFonts w:ascii="等线" w:eastAsia="等线" w:hAnsi="等线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rPr>
      <w:sz w:val="21"/>
      <w:szCs w:val="21"/>
    </w:rPr>
  </w:style>
  <w:style w:type="paragraph" w:styleId="a8">
    <w:name w:val="annotation text"/>
    <w:basedOn w:val="a"/>
    <w:link w:val="a9"/>
    <w:uiPriority w:val="99"/>
    <w:pPr>
      <w:spacing w:line="240" w:lineRule="auto"/>
      <w:ind w:rightChars="0" w:right="0"/>
      <w:jc w:val="left"/>
    </w:pPr>
    <w:rPr>
      <w:sz w:val="20"/>
    </w:rPr>
  </w:style>
  <w:style w:type="character" w:customStyle="1" w:styleId="a9">
    <w:name w:val="批注文字 字符"/>
    <w:basedOn w:val="a0"/>
    <w:link w:val="a8"/>
    <w:uiPriority w:val="99"/>
    <w:rPr>
      <w:rFonts w:ascii="Times New Roman" w:eastAsia="宋体" w:hAnsi="Times New Roman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批注主题 字符"/>
    <w:basedOn w:val="a9"/>
    <w:link w:val="aa"/>
    <w:uiPriority w:val="99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pPr>
      <w:spacing w:line="240" w:lineRule="auto"/>
      <w:ind w:rightChars="0" w:right="0"/>
      <w:jc w:val="left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005Char">
    <w:name w:val="005正文 Char"/>
    <w:link w:val="005"/>
    <w:qFormat/>
    <w:rPr>
      <w:rFonts w:ascii="Times New Roman" w:eastAsia="宋体" w:hAnsi="Times New Roman" w:cs="Times New Roman"/>
      <w:sz w:val="24"/>
    </w:rPr>
  </w:style>
  <w:style w:type="paragraph" w:customStyle="1" w:styleId="005">
    <w:name w:val="005正文"/>
    <w:basedOn w:val="a"/>
    <w:link w:val="005Char"/>
    <w:qFormat/>
    <w:pPr>
      <w:autoSpaceDE/>
      <w:autoSpaceDN/>
      <w:adjustRightInd/>
      <w:spacing w:beforeLines="50" w:before="156" w:line="360" w:lineRule="auto"/>
      <w:ind w:rightChars="0" w:right="0"/>
      <w:textAlignment w:val="auto"/>
    </w:pPr>
    <w:rPr>
      <w:kern w:val="2"/>
      <w:szCs w:val="22"/>
    </w:rPr>
  </w:style>
  <w:style w:type="paragraph" w:customStyle="1" w:styleId="ae">
    <w:name w:val="问题"/>
    <w:basedOn w:val="a"/>
    <w:link w:val="af"/>
    <w:qFormat/>
    <w:rPr>
      <w:b/>
      <w:bCs/>
      <w:szCs w:val="24"/>
    </w:rPr>
  </w:style>
  <w:style w:type="character" w:customStyle="1" w:styleId="af">
    <w:name w:val="问题 字符"/>
    <w:basedOn w:val="a0"/>
    <w:link w:val="ae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af0">
    <w:name w:val="Revision"/>
    <w:uiPriority w:val="99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List Paragraph"/>
    <w:basedOn w:val="a"/>
    <w:uiPriority w:val="34"/>
    <w:qFormat/>
    <w:pPr>
      <w:spacing w:line="240" w:lineRule="auto"/>
      <w:ind w:rightChars="0" w:right="0" w:firstLineChars="200" w:firstLine="420"/>
      <w:jc w:val="left"/>
    </w:pPr>
    <w:rPr>
      <w:sz w:val="20"/>
    </w:rPr>
  </w:style>
  <w:style w:type="character" w:customStyle="1" w:styleId="af2">
    <w:name w:val="回复 字符"/>
    <w:basedOn w:val="a0"/>
    <w:link w:val="af3"/>
    <w:locked/>
    <w:rsid w:val="00861BA8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f3">
    <w:name w:val="回复"/>
    <w:basedOn w:val="a"/>
    <w:link w:val="af2"/>
    <w:qFormat/>
    <w:rsid w:val="00861BA8"/>
    <w:pPr>
      <w:ind w:right="100" w:firstLineChars="200" w:firstLine="48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35F03-45E5-46DD-9AF3-40D3F76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XIZI</dc:creator>
  <cp:lastModifiedBy>YU XIZI</cp:lastModifiedBy>
  <cp:revision>218</cp:revision>
  <dcterms:created xsi:type="dcterms:W3CDTF">2020-09-02T02:30:00Z</dcterms:created>
  <dcterms:modified xsi:type="dcterms:W3CDTF">2021-02-24T08:15:00Z</dcterms:modified>
</cp:coreProperties>
</file>