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5B" w:rsidRPr="004B23B8" w:rsidRDefault="008A2E5B" w:rsidP="008A2E5B">
      <w:pPr>
        <w:wordWrap w:val="0"/>
        <w:spacing w:beforeLines="50" w:before="156" w:afterLines="50" w:after="156" w:line="360" w:lineRule="auto"/>
        <w:jc w:val="right"/>
        <w:rPr>
          <w:rFonts w:ascii="Arial" w:hAnsi="Arial" w:cs="Arial"/>
          <w:sz w:val="24"/>
          <w:szCs w:val="24"/>
        </w:rPr>
      </w:pPr>
      <w:r w:rsidRPr="004B23B8">
        <w:rPr>
          <w:rFonts w:ascii="Arial" w:hAnsi="Arial" w:cs="Arial"/>
          <w:sz w:val="24"/>
          <w:szCs w:val="24"/>
        </w:rPr>
        <w:t>证券代码：</w:t>
      </w:r>
      <w:r w:rsidRPr="004B23B8">
        <w:rPr>
          <w:rFonts w:ascii="Arial" w:hAnsi="Arial" w:cs="Arial"/>
          <w:sz w:val="24"/>
          <w:szCs w:val="24"/>
        </w:rPr>
        <w:t xml:space="preserve">603966        </w:t>
      </w:r>
      <w:r w:rsidRPr="004B23B8">
        <w:rPr>
          <w:rFonts w:ascii="Arial" w:hAnsi="Arial" w:cs="Arial" w:hint="eastAsia"/>
          <w:sz w:val="24"/>
          <w:szCs w:val="24"/>
        </w:rPr>
        <w:t xml:space="preserve">   </w:t>
      </w:r>
      <w:r w:rsidRPr="004B23B8">
        <w:rPr>
          <w:rFonts w:ascii="Arial" w:hAnsi="Arial" w:cs="Arial"/>
          <w:sz w:val="24"/>
          <w:szCs w:val="24"/>
        </w:rPr>
        <w:t>证券简称：法兰泰克</w:t>
      </w:r>
      <w:r>
        <w:rPr>
          <w:rFonts w:ascii="Arial" w:hAnsi="Arial" w:cs="Arial" w:hint="eastAsia"/>
          <w:sz w:val="24"/>
          <w:szCs w:val="24"/>
        </w:rPr>
        <w:t xml:space="preserve">        </w:t>
      </w:r>
      <w:r w:rsidRPr="004B23B8">
        <w:rPr>
          <w:rFonts w:ascii="Arial" w:hAnsi="Arial" w:cs="Arial" w:hint="eastAsia"/>
          <w:sz w:val="24"/>
          <w:szCs w:val="24"/>
        </w:rPr>
        <w:t>编号：</w:t>
      </w:r>
      <w:r w:rsidRPr="004B23B8">
        <w:rPr>
          <w:rFonts w:ascii="Arial" w:hAnsi="Arial" w:cs="Arial" w:hint="eastAsia"/>
          <w:sz w:val="24"/>
          <w:szCs w:val="24"/>
        </w:rPr>
        <w:t>20</w:t>
      </w:r>
      <w:r>
        <w:rPr>
          <w:rFonts w:ascii="Arial" w:hAnsi="Arial" w:cs="Arial"/>
          <w:sz w:val="24"/>
          <w:szCs w:val="24"/>
        </w:rPr>
        <w:t>210</w:t>
      </w:r>
      <w:r w:rsidR="003F4866">
        <w:rPr>
          <w:rFonts w:ascii="Arial" w:hAnsi="Arial" w:cs="Arial"/>
          <w:sz w:val="24"/>
          <w:szCs w:val="24"/>
        </w:rPr>
        <w:t>506</w:t>
      </w:r>
    </w:p>
    <w:p w:rsidR="008A2E5B" w:rsidRPr="00D1145A" w:rsidRDefault="008A2E5B" w:rsidP="008A2E5B">
      <w:pPr>
        <w:spacing w:beforeLines="100" w:before="312" w:afterLines="100" w:after="312" w:line="360" w:lineRule="auto"/>
        <w:jc w:val="center"/>
        <w:rPr>
          <w:rFonts w:ascii="Arial" w:eastAsia="黑体" w:hAnsi="Arial" w:cs="Arial"/>
          <w:sz w:val="30"/>
          <w:szCs w:val="30"/>
        </w:rPr>
      </w:pPr>
      <w:r>
        <w:rPr>
          <w:rFonts w:ascii="Arial" w:eastAsia="黑体" w:hAnsi="Arial" w:cs="Arial" w:hint="eastAsia"/>
          <w:sz w:val="30"/>
          <w:szCs w:val="30"/>
        </w:rPr>
        <w:t>法兰泰克重工股份有限公司投资者关系活动记录表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598"/>
      </w:tblGrid>
      <w:tr w:rsidR="00856907" w:rsidRPr="004B23B8" w:rsidTr="00C90F42">
        <w:trPr>
          <w:jc w:val="center"/>
        </w:trPr>
        <w:tc>
          <w:tcPr>
            <w:tcW w:w="719" w:type="dxa"/>
            <w:tcBorders>
              <w:top w:val="single" w:sz="12" w:space="0" w:color="auto"/>
              <w:left w:val="single" w:sz="12" w:space="0" w:color="auto"/>
            </w:tcBorders>
            <w:shd w:val="clear" w:color="auto" w:fill="auto"/>
            <w:vAlign w:val="center"/>
          </w:tcPr>
          <w:p w:rsidR="008A2E5B" w:rsidRPr="004B23B8" w:rsidRDefault="008A2E5B" w:rsidP="00C90F42">
            <w:pPr>
              <w:spacing w:line="300" w:lineRule="auto"/>
              <w:jc w:val="center"/>
              <w:rPr>
                <w:rFonts w:ascii="Arial" w:hAnsi="Arial" w:cs="Arial"/>
              </w:rPr>
            </w:pPr>
            <w:r w:rsidRPr="004B23B8">
              <w:rPr>
                <w:rFonts w:ascii="Arial" w:hAnsi="Arial" w:cs="Arial"/>
              </w:rPr>
              <w:t>活动类别</w:t>
            </w:r>
          </w:p>
        </w:tc>
        <w:tc>
          <w:tcPr>
            <w:tcW w:w="8463" w:type="dxa"/>
            <w:tcBorders>
              <w:top w:val="single" w:sz="12" w:space="0" w:color="auto"/>
              <w:right w:val="single" w:sz="12" w:space="0" w:color="auto"/>
            </w:tcBorders>
            <w:shd w:val="clear" w:color="auto" w:fill="auto"/>
            <w:vAlign w:val="center"/>
          </w:tcPr>
          <w:p w:rsidR="008A2E5B" w:rsidRPr="004B23B8" w:rsidRDefault="00C048E8" w:rsidP="00C90F42">
            <w:pPr>
              <w:spacing w:line="300" w:lineRule="auto"/>
              <w:jc w:val="left"/>
              <w:rPr>
                <w:rFonts w:ascii="Arial" w:hAnsi="Arial" w:cs="Arial"/>
              </w:rPr>
            </w:pPr>
            <w:r>
              <w:rPr>
                <w:rFonts w:ascii="宋体" w:hAnsi="宋体" w:cs="Arial" w:hint="eastAsia"/>
              </w:rPr>
              <w:sym w:font="Wingdings 2" w:char="F052"/>
            </w:r>
            <w:r w:rsidR="008A2E5B" w:rsidRPr="004B23B8">
              <w:rPr>
                <w:rFonts w:ascii="Arial" w:hAnsi="Arial" w:cs="Arial"/>
              </w:rPr>
              <w:t>特定对象调研</w:t>
            </w:r>
            <w:r w:rsidR="008A2E5B" w:rsidRPr="004B23B8">
              <w:rPr>
                <w:rFonts w:ascii="Arial" w:hAnsi="Arial" w:cs="Arial"/>
              </w:rPr>
              <w:t xml:space="preserve"> </w:t>
            </w:r>
            <w:r w:rsidR="008A2E5B" w:rsidRPr="004B23B8">
              <w:rPr>
                <w:rFonts w:ascii="Arial" w:hAnsi="Arial" w:cs="Arial" w:hint="eastAsia"/>
              </w:rPr>
              <w:t xml:space="preserve"> </w:t>
            </w:r>
            <w:r w:rsidR="008A2E5B" w:rsidRPr="008A2E5B">
              <w:rPr>
                <w:rFonts w:ascii="宋体" w:hAnsi="宋体" w:cs="Arial" w:hint="eastAsia"/>
              </w:rPr>
              <w:t>□</w:t>
            </w:r>
            <w:r w:rsidR="008A2E5B" w:rsidRPr="004B23B8">
              <w:rPr>
                <w:rFonts w:ascii="Arial" w:hAnsi="Arial" w:cs="Arial"/>
              </w:rPr>
              <w:t>分析师会议</w:t>
            </w:r>
            <w:r w:rsidR="008A2E5B" w:rsidRPr="004B23B8">
              <w:rPr>
                <w:rFonts w:ascii="Arial" w:hAnsi="Arial" w:cs="Arial"/>
              </w:rPr>
              <w:t xml:space="preserve">  </w:t>
            </w:r>
            <w:r w:rsidR="008A2E5B">
              <w:rPr>
                <w:rFonts w:ascii="宋体" w:hAnsi="宋体" w:cs="Arial" w:hint="eastAsia"/>
              </w:rPr>
              <w:t>□</w:t>
            </w:r>
            <w:r w:rsidR="008A2E5B" w:rsidRPr="004B23B8">
              <w:rPr>
                <w:rFonts w:ascii="Arial" w:hAnsi="Arial" w:cs="Arial"/>
              </w:rPr>
              <w:t>媒体采访</w:t>
            </w:r>
            <w:r w:rsidR="008A2E5B" w:rsidRPr="004B23B8">
              <w:rPr>
                <w:rFonts w:ascii="Arial" w:hAnsi="Arial" w:cs="Arial"/>
              </w:rPr>
              <w:t xml:space="preserve"> </w:t>
            </w:r>
            <w:r w:rsidR="008A2E5B" w:rsidRPr="004B23B8">
              <w:rPr>
                <w:rFonts w:ascii="Arial" w:hAnsi="Arial" w:cs="Arial" w:hint="eastAsia"/>
              </w:rPr>
              <w:t xml:space="preserve"> </w:t>
            </w:r>
            <w:r w:rsidR="008A2E5B">
              <w:rPr>
                <w:rFonts w:ascii="宋体" w:hAnsi="宋体" w:cs="Arial" w:hint="eastAsia"/>
              </w:rPr>
              <w:t>□</w:t>
            </w:r>
            <w:r w:rsidR="008A2E5B" w:rsidRPr="004B23B8">
              <w:rPr>
                <w:rFonts w:ascii="Arial" w:hAnsi="Arial" w:cs="Arial"/>
              </w:rPr>
              <w:t>业绩说明会</w:t>
            </w:r>
            <w:r w:rsidR="008A2E5B" w:rsidRPr="004B23B8">
              <w:rPr>
                <w:rFonts w:ascii="Arial" w:hAnsi="Arial" w:cs="Arial"/>
              </w:rPr>
              <w:t xml:space="preserve"> </w:t>
            </w:r>
            <w:r w:rsidR="008A2E5B" w:rsidRPr="004B23B8">
              <w:rPr>
                <w:rFonts w:ascii="Arial" w:hAnsi="Arial" w:cs="Arial" w:hint="eastAsia"/>
              </w:rPr>
              <w:t xml:space="preserve"> </w:t>
            </w:r>
            <w:r w:rsidR="008A2E5B">
              <w:rPr>
                <w:rFonts w:ascii="宋体" w:hAnsi="宋体" w:cs="Arial" w:hint="eastAsia"/>
              </w:rPr>
              <w:t>□</w:t>
            </w:r>
            <w:r w:rsidR="008A2E5B" w:rsidRPr="004B23B8">
              <w:rPr>
                <w:rFonts w:ascii="Arial" w:hAnsi="Arial" w:cs="Arial"/>
              </w:rPr>
              <w:t>新闻发布会</w:t>
            </w:r>
          </w:p>
          <w:p w:rsidR="008A2E5B" w:rsidRPr="004B23B8" w:rsidRDefault="008A2E5B" w:rsidP="00C90F42">
            <w:pPr>
              <w:spacing w:line="300" w:lineRule="auto"/>
              <w:jc w:val="left"/>
              <w:rPr>
                <w:rFonts w:ascii="Arial" w:hAnsi="Arial" w:cs="Arial"/>
              </w:rPr>
            </w:pPr>
            <w:r>
              <w:rPr>
                <w:rFonts w:ascii="宋体" w:hAnsi="宋体" w:cs="Arial" w:hint="eastAsia"/>
              </w:rPr>
              <w:t>□</w:t>
            </w:r>
            <w:r w:rsidRPr="004B23B8">
              <w:rPr>
                <w:rFonts w:ascii="Arial" w:hAnsi="Arial" w:cs="Arial"/>
              </w:rPr>
              <w:t>路演活动</w:t>
            </w:r>
            <w:r w:rsidRPr="004B23B8">
              <w:rPr>
                <w:rFonts w:ascii="Arial" w:hAnsi="Arial" w:cs="Arial"/>
              </w:rPr>
              <w:t xml:space="preserve"> </w:t>
            </w:r>
            <w:r w:rsidRPr="004B23B8">
              <w:rPr>
                <w:rFonts w:ascii="Arial" w:hAnsi="Arial" w:cs="Arial" w:hint="eastAsia"/>
              </w:rPr>
              <w:t xml:space="preserve"> </w:t>
            </w:r>
            <w:r>
              <w:rPr>
                <w:rFonts w:ascii="宋体" w:hAnsi="宋体" w:cs="Arial" w:hint="eastAsia"/>
              </w:rPr>
              <w:t>□</w:t>
            </w:r>
            <w:r w:rsidRPr="004B23B8">
              <w:rPr>
                <w:rFonts w:ascii="Arial" w:hAnsi="Arial" w:cs="Arial"/>
              </w:rPr>
              <w:t>现场参观</w:t>
            </w:r>
            <w:r w:rsidRPr="004B23B8">
              <w:rPr>
                <w:rFonts w:ascii="Arial" w:hAnsi="Arial" w:cs="Arial" w:hint="eastAsia"/>
              </w:rPr>
              <w:t xml:space="preserve">  </w:t>
            </w:r>
            <w:r>
              <w:rPr>
                <w:rFonts w:ascii="宋体" w:hAnsi="宋体" w:cs="Arial" w:hint="eastAsia"/>
              </w:rPr>
              <w:t>□</w:t>
            </w:r>
            <w:r w:rsidRPr="004B23B8">
              <w:rPr>
                <w:rFonts w:ascii="Arial" w:hAnsi="Arial" w:cs="Arial"/>
              </w:rPr>
              <w:t>其他</w:t>
            </w:r>
            <w:r w:rsidRPr="004B23B8">
              <w:rPr>
                <w:rFonts w:ascii="Arial" w:hAnsi="Arial" w:cs="Arial" w:hint="eastAsia"/>
                <w:u w:val="single"/>
              </w:rPr>
              <w:t xml:space="preserve"> </w:t>
            </w:r>
            <w:r>
              <w:rPr>
                <w:rFonts w:ascii="Arial" w:hAnsi="Arial" w:cs="Arial" w:hint="eastAsia"/>
                <w:u w:val="single"/>
              </w:rPr>
              <w:t xml:space="preserve">      </w:t>
            </w:r>
          </w:p>
        </w:tc>
      </w:tr>
      <w:tr w:rsidR="00856907" w:rsidRPr="004B23B8" w:rsidTr="00C90F42">
        <w:trPr>
          <w:jc w:val="center"/>
        </w:trPr>
        <w:tc>
          <w:tcPr>
            <w:tcW w:w="719" w:type="dxa"/>
            <w:tcBorders>
              <w:left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Pr>
                <w:rFonts w:ascii="Arial" w:hAnsi="Arial" w:cs="Arial" w:hint="eastAsia"/>
              </w:rPr>
              <w:t>参与人员</w:t>
            </w:r>
          </w:p>
        </w:tc>
        <w:tc>
          <w:tcPr>
            <w:tcW w:w="8463" w:type="dxa"/>
            <w:tcBorders>
              <w:right w:val="single" w:sz="12" w:space="0" w:color="auto"/>
            </w:tcBorders>
            <w:shd w:val="clear" w:color="auto" w:fill="auto"/>
            <w:vAlign w:val="center"/>
          </w:tcPr>
          <w:p w:rsidR="008A2E5B" w:rsidRPr="00251408" w:rsidRDefault="000839AF" w:rsidP="00C90F42">
            <w:pPr>
              <w:spacing w:beforeLines="50" w:before="156" w:afterLines="50" w:after="156" w:line="300" w:lineRule="auto"/>
              <w:jc w:val="left"/>
              <w:rPr>
                <w:rFonts w:ascii="Arial" w:hAnsi="Arial" w:cs="Arial"/>
              </w:rPr>
            </w:pPr>
            <w:r>
              <w:rPr>
                <w:rFonts w:ascii="Arial" w:hAnsi="Arial" w:cs="Arial" w:hint="eastAsia"/>
              </w:rPr>
              <w:t>览领资产徐晓峰、张海安、秦晨晔</w:t>
            </w:r>
          </w:p>
        </w:tc>
      </w:tr>
      <w:tr w:rsidR="00856907" w:rsidRPr="004B23B8" w:rsidTr="00C90F42">
        <w:trPr>
          <w:jc w:val="center"/>
        </w:trPr>
        <w:tc>
          <w:tcPr>
            <w:tcW w:w="719" w:type="dxa"/>
            <w:tcBorders>
              <w:left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sidRPr="004B23B8">
              <w:rPr>
                <w:rFonts w:ascii="Arial" w:hAnsi="Arial" w:cs="Arial"/>
              </w:rPr>
              <w:t>时间</w:t>
            </w:r>
          </w:p>
        </w:tc>
        <w:tc>
          <w:tcPr>
            <w:tcW w:w="8463" w:type="dxa"/>
            <w:tcBorders>
              <w:right w:val="single" w:sz="12" w:space="0" w:color="auto"/>
            </w:tcBorders>
            <w:shd w:val="clear" w:color="auto" w:fill="auto"/>
            <w:vAlign w:val="center"/>
          </w:tcPr>
          <w:p w:rsidR="008A2E5B" w:rsidRPr="004B23B8" w:rsidRDefault="008A2E5B" w:rsidP="00C90F42">
            <w:pPr>
              <w:spacing w:beforeLines="50" w:before="156" w:afterLines="50" w:after="156" w:line="300" w:lineRule="auto"/>
              <w:jc w:val="left"/>
              <w:rPr>
                <w:rFonts w:ascii="Arial" w:hAnsi="Arial" w:cs="Arial"/>
              </w:rPr>
            </w:pPr>
            <w:r>
              <w:rPr>
                <w:rFonts w:ascii="Arial" w:hAnsi="Arial" w:cs="Arial" w:hint="eastAsia"/>
              </w:rPr>
              <w:t>20</w:t>
            </w:r>
            <w:r>
              <w:rPr>
                <w:rFonts w:ascii="Arial" w:hAnsi="Arial" w:cs="Arial"/>
              </w:rPr>
              <w:t>21</w:t>
            </w:r>
            <w:r>
              <w:rPr>
                <w:rFonts w:ascii="Arial" w:hAnsi="Arial" w:cs="Arial" w:hint="eastAsia"/>
              </w:rPr>
              <w:t>年</w:t>
            </w:r>
            <w:r w:rsidR="000839AF">
              <w:rPr>
                <w:rFonts w:ascii="Arial" w:hAnsi="Arial" w:cs="Arial"/>
              </w:rPr>
              <w:t>5</w:t>
            </w:r>
            <w:r>
              <w:rPr>
                <w:rFonts w:ascii="Arial" w:hAnsi="Arial" w:cs="Arial" w:hint="eastAsia"/>
              </w:rPr>
              <w:t>月</w:t>
            </w:r>
            <w:r w:rsidR="000839AF">
              <w:rPr>
                <w:rFonts w:ascii="Arial" w:hAnsi="Arial" w:cs="Arial"/>
              </w:rPr>
              <w:t>6</w:t>
            </w:r>
            <w:r>
              <w:rPr>
                <w:rFonts w:ascii="Arial" w:hAnsi="Arial" w:cs="Arial" w:hint="eastAsia"/>
              </w:rPr>
              <w:t>日</w:t>
            </w:r>
          </w:p>
        </w:tc>
      </w:tr>
      <w:tr w:rsidR="00856907" w:rsidRPr="004B23B8" w:rsidTr="00C90F42">
        <w:trPr>
          <w:jc w:val="center"/>
        </w:trPr>
        <w:tc>
          <w:tcPr>
            <w:tcW w:w="719" w:type="dxa"/>
            <w:tcBorders>
              <w:left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sidRPr="004B23B8">
              <w:rPr>
                <w:rFonts w:ascii="Arial" w:hAnsi="Arial" w:cs="Arial"/>
              </w:rPr>
              <w:t>地点</w:t>
            </w:r>
          </w:p>
        </w:tc>
        <w:tc>
          <w:tcPr>
            <w:tcW w:w="8463" w:type="dxa"/>
            <w:tcBorders>
              <w:right w:val="single" w:sz="12" w:space="0" w:color="auto"/>
            </w:tcBorders>
            <w:shd w:val="clear" w:color="auto" w:fill="auto"/>
            <w:vAlign w:val="center"/>
          </w:tcPr>
          <w:p w:rsidR="008A2E5B" w:rsidRPr="004B23B8" w:rsidRDefault="000839AF" w:rsidP="00C90F42">
            <w:pPr>
              <w:spacing w:beforeLines="50" w:before="156" w:afterLines="50" w:after="156" w:line="300" w:lineRule="auto"/>
              <w:jc w:val="left"/>
              <w:rPr>
                <w:rFonts w:ascii="Arial" w:hAnsi="Arial" w:cs="Arial"/>
              </w:rPr>
            </w:pPr>
            <w:r>
              <w:rPr>
                <w:rFonts w:ascii="Arial" w:hAnsi="Arial" w:cs="Arial" w:hint="eastAsia"/>
              </w:rPr>
              <w:t>公司会议室</w:t>
            </w:r>
          </w:p>
        </w:tc>
      </w:tr>
      <w:tr w:rsidR="00856907" w:rsidRPr="004B23B8" w:rsidTr="00C90F42">
        <w:trPr>
          <w:jc w:val="center"/>
        </w:trPr>
        <w:tc>
          <w:tcPr>
            <w:tcW w:w="719" w:type="dxa"/>
            <w:tcBorders>
              <w:left w:val="single" w:sz="12" w:space="0" w:color="auto"/>
            </w:tcBorders>
            <w:shd w:val="clear" w:color="auto" w:fill="auto"/>
            <w:vAlign w:val="center"/>
          </w:tcPr>
          <w:p w:rsidR="008A2E5B" w:rsidRPr="004B23B8" w:rsidRDefault="008A2E5B" w:rsidP="00C90F42">
            <w:pPr>
              <w:spacing w:line="300" w:lineRule="auto"/>
              <w:jc w:val="center"/>
              <w:rPr>
                <w:rFonts w:ascii="Arial" w:hAnsi="Arial" w:cs="Arial"/>
              </w:rPr>
            </w:pPr>
            <w:r w:rsidRPr="004B23B8">
              <w:rPr>
                <w:rFonts w:ascii="Arial" w:hAnsi="Arial" w:cs="Arial"/>
              </w:rPr>
              <w:t>接待人员</w:t>
            </w:r>
          </w:p>
        </w:tc>
        <w:tc>
          <w:tcPr>
            <w:tcW w:w="8463" w:type="dxa"/>
            <w:tcBorders>
              <w:right w:val="single" w:sz="12" w:space="0" w:color="auto"/>
            </w:tcBorders>
            <w:shd w:val="clear" w:color="auto" w:fill="auto"/>
            <w:vAlign w:val="center"/>
          </w:tcPr>
          <w:p w:rsidR="008A2E5B" w:rsidRPr="009261EC" w:rsidRDefault="008A2E5B" w:rsidP="00C90F42">
            <w:pPr>
              <w:spacing w:beforeLines="50" w:before="156" w:afterLines="50" w:after="156" w:line="300" w:lineRule="auto"/>
              <w:jc w:val="left"/>
              <w:rPr>
                <w:rFonts w:ascii="Arial" w:hAnsi="Arial" w:cs="Arial"/>
              </w:rPr>
            </w:pPr>
            <w:r>
              <w:rPr>
                <w:rFonts w:ascii="Arial" w:hAnsi="Arial" w:cs="Arial" w:hint="eastAsia"/>
              </w:rPr>
              <w:t>董事会秘书彭家辉</w:t>
            </w:r>
          </w:p>
        </w:tc>
      </w:tr>
      <w:tr w:rsidR="00856907" w:rsidRPr="004B23B8" w:rsidTr="00C90F42">
        <w:trPr>
          <w:jc w:val="center"/>
        </w:trPr>
        <w:tc>
          <w:tcPr>
            <w:tcW w:w="719" w:type="dxa"/>
            <w:tcBorders>
              <w:left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sidRPr="004B23B8">
              <w:rPr>
                <w:rFonts w:ascii="Arial" w:hAnsi="Arial" w:cs="Arial"/>
              </w:rPr>
              <w:t>主要内容</w:t>
            </w:r>
          </w:p>
        </w:tc>
        <w:tc>
          <w:tcPr>
            <w:tcW w:w="8463" w:type="dxa"/>
            <w:tcBorders>
              <w:right w:val="single" w:sz="12" w:space="0" w:color="auto"/>
            </w:tcBorders>
            <w:shd w:val="clear" w:color="auto" w:fill="auto"/>
            <w:vAlign w:val="center"/>
          </w:tcPr>
          <w:p w:rsidR="008A2E5B" w:rsidRDefault="00101D97" w:rsidP="00101D97">
            <w:pPr>
              <w:pStyle w:val="a3"/>
              <w:numPr>
                <w:ilvl w:val="0"/>
                <w:numId w:val="1"/>
              </w:numPr>
              <w:ind w:firstLineChars="0"/>
              <w:rPr>
                <w:rFonts w:ascii="Arial" w:hAnsi="Arial" w:cs="Arial"/>
              </w:rPr>
            </w:pPr>
            <w:r w:rsidRPr="00101D97">
              <w:rPr>
                <w:rFonts w:ascii="Arial" w:hAnsi="Arial" w:cs="Arial"/>
              </w:rPr>
              <w:t>公司</w:t>
            </w:r>
            <w:r w:rsidRPr="00101D97">
              <w:rPr>
                <w:rFonts w:ascii="Arial" w:hAnsi="Arial" w:cs="Arial" w:hint="eastAsia"/>
              </w:rPr>
              <w:t>2</w:t>
            </w:r>
            <w:r w:rsidRPr="00101D97">
              <w:rPr>
                <w:rFonts w:ascii="Arial" w:hAnsi="Arial" w:cs="Arial"/>
              </w:rPr>
              <w:t>020</w:t>
            </w:r>
            <w:r w:rsidRPr="00101D97">
              <w:rPr>
                <w:rFonts w:ascii="Arial" w:hAnsi="Arial" w:cs="Arial"/>
              </w:rPr>
              <w:t>年</w:t>
            </w:r>
            <w:r w:rsidR="00745B9E">
              <w:rPr>
                <w:rFonts w:ascii="Arial" w:hAnsi="Arial" w:cs="Arial"/>
              </w:rPr>
              <w:t>整体</w:t>
            </w:r>
            <w:r w:rsidRPr="00101D97">
              <w:rPr>
                <w:rFonts w:ascii="Arial" w:hAnsi="Arial" w:cs="Arial"/>
              </w:rPr>
              <w:t>情况介绍</w:t>
            </w:r>
          </w:p>
          <w:p w:rsidR="00C9643E" w:rsidRDefault="001E63C7" w:rsidP="001E63C7">
            <w:pPr>
              <w:ind w:firstLineChars="200" w:firstLine="420"/>
              <w:rPr>
                <w:rFonts w:ascii="Arial" w:hAnsi="Arial" w:cs="Arial"/>
              </w:rPr>
            </w:pPr>
            <w:r w:rsidRPr="001E63C7">
              <w:rPr>
                <w:rFonts w:ascii="Arial" w:hAnsi="Arial" w:cs="Arial" w:hint="eastAsia"/>
              </w:rPr>
              <w:t>公司主要向客户提供智能物料搬运解决方案，主要从事欧式起重机、自动化起重机、智能起重机、缆索起重机、工程机械及部件的研发、制造、销售和服务。产品和服务应用广泛，已经拓展到新能源汽车、国防军工、水利水电、装备制造、轨道交通、船舶、钢铁、造纸、环保、清洁能源等二十多个行业。</w:t>
            </w:r>
          </w:p>
          <w:p w:rsidR="00800E37" w:rsidRDefault="00800E37" w:rsidP="00800E37">
            <w:pPr>
              <w:ind w:firstLineChars="200" w:firstLine="420"/>
              <w:rPr>
                <w:rFonts w:ascii="Arial" w:hAnsi="Arial" w:cs="Arial"/>
              </w:rPr>
            </w:pPr>
            <w:r>
              <w:rPr>
                <w:rFonts w:ascii="Arial" w:hAnsi="Arial" w:cs="Arial" w:hint="eastAsia"/>
              </w:rPr>
              <w:t>2</w:t>
            </w:r>
            <w:r>
              <w:rPr>
                <w:rFonts w:ascii="Arial" w:hAnsi="Arial" w:cs="Arial"/>
              </w:rPr>
              <w:t>020</w:t>
            </w:r>
            <w:r>
              <w:rPr>
                <w:rFonts w:ascii="Arial" w:hAnsi="Arial" w:cs="Arial"/>
              </w:rPr>
              <w:t>年度，</w:t>
            </w:r>
            <w:r w:rsidRPr="00800E37">
              <w:rPr>
                <w:rFonts w:ascii="Arial" w:hAnsi="Arial" w:cs="Arial" w:hint="eastAsia"/>
              </w:rPr>
              <w:t>公司紧抓市场机遇，加大研发力度，响应市场需求，以欧式起重机为代表的中高端智能搬运装备销售较快增长</w:t>
            </w:r>
            <w:r>
              <w:rPr>
                <w:rFonts w:ascii="Arial" w:hAnsi="Arial" w:cs="Arial" w:hint="eastAsia"/>
              </w:rPr>
              <w:t>。</w:t>
            </w:r>
            <w:r w:rsidRPr="00800E37">
              <w:rPr>
                <w:rFonts w:ascii="Arial" w:hAnsi="Arial" w:cs="Arial" w:hint="eastAsia"/>
              </w:rPr>
              <w:t>整体</w:t>
            </w:r>
            <w:r>
              <w:rPr>
                <w:rFonts w:ascii="Arial" w:hAnsi="Arial" w:cs="Arial" w:hint="eastAsia"/>
              </w:rPr>
              <w:t>上看，公司</w:t>
            </w:r>
            <w:r w:rsidRPr="00800E37">
              <w:rPr>
                <w:rFonts w:ascii="Arial" w:hAnsi="Arial" w:cs="Arial" w:hint="eastAsia"/>
              </w:rPr>
              <w:t>处于快速发展阶段</w:t>
            </w:r>
            <w:r>
              <w:rPr>
                <w:rFonts w:ascii="Arial" w:hAnsi="Arial" w:cs="Arial" w:hint="eastAsia"/>
              </w:rPr>
              <w:t>，</w:t>
            </w:r>
            <w:r w:rsidRPr="00800E37">
              <w:rPr>
                <w:rFonts w:ascii="Arial" w:hAnsi="Arial" w:cs="Arial" w:hint="eastAsia"/>
              </w:rPr>
              <w:t>实现营业收入为</w:t>
            </w:r>
            <w:r w:rsidRPr="00800E37">
              <w:rPr>
                <w:rFonts w:ascii="Arial" w:hAnsi="Arial" w:cs="Arial"/>
              </w:rPr>
              <w:t>12</w:t>
            </w:r>
            <w:r>
              <w:rPr>
                <w:rFonts w:ascii="Arial" w:hAnsi="Arial" w:cs="Arial"/>
              </w:rPr>
              <w:t>.6</w:t>
            </w:r>
            <w:r>
              <w:rPr>
                <w:rFonts w:ascii="Arial" w:hAnsi="Arial" w:cs="Arial"/>
              </w:rPr>
              <w:t>亿元，同比增长</w:t>
            </w:r>
            <w:r>
              <w:rPr>
                <w:rFonts w:ascii="Arial" w:hAnsi="Arial" w:cs="Arial" w:hint="eastAsia"/>
              </w:rPr>
              <w:t>1</w:t>
            </w:r>
            <w:r>
              <w:rPr>
                <w:rFonts w:ascii="Arial" w:hAnsi="Arial" w:cs="Arial"/>
              </w:rPr>
              <w:t>4.02%</w:t>
            </w:r>
            <w:r>
              <w:rPr>
                <w:rFonts w:ascii="Arial" w:hAnsi="Arial" w:cs="Arial"/>
              </w:rPr>
              <w:t>；</w:t>
            </w:r>
            <w:r w:rsidRPr="00800E37">
              <w:rPr>
                <w:rFonts w:ascii="Arial" w:hAnsi="Arial" w:cs="Arial"/>
              </w:rPr>
              <w:t>归属于上市公司股东的净利润为</w:t>
            </w:r>
            <w:r w:rsidRPr="00800E37">
              <w:rPr>
                <w:rFonts w:ascii="Arial" w:hAnsi="Arial" w:cs="Arial"/>
              </w:rPr>
              <w:t>15,477.32</w:t>
            </w:r>
            <w:r w:rsidRPr="00800E37">
              <w:rPr>
                <w:rFonts w:ascii="Arial" w:hAnsi="Arial" w:cs="Arial"/>
              </w:rPr>
              <w:t>万元，同比增长</w:t>
            </w:r>
            <w:r w:rsidRPr="00800E37">
              <w:rPr>
                <w:rFonts w:ascii="Arial" w:hAnsi="Arial" w:cs="Arial"/>
              </w:rPr>
              <w:t>50.79%</w:t>
            </w:r>
            <w:r w:rsidRPr="00800E37">
              <w:rPr>
                <w:rFonts w:ascii="Arial" w:hAnsi="Arial" w:cs="Arial"/>
              </w:rPr>
              <w:t>。</w:t>
            </w:r>
          </w:p>
          <w:p w:rsidR="00856907" w:rsidRDefault="00856907" w:rsidP="00856907">
            <w:pPr>
              <w:ind w:firstLineChars="200" w:firstLine="420"/>
              <w:rPr>
                <w:rFonts w:ascii="Arial" w:hAnsi="Arial" w:cs="Arial"/>
              </w:rPr>
            </w:pPr>
            <w:r>
              <w:rPr>
                <w:rFonts w:ascii="Arial" w:hAnsi="Arial" w:cs="Arial" w:hint="eastAsia"/>
              </w:rPr>
              <w:t>2</w:t>
            </w:r>
            <w:r>
              <w:rPr>
                <w:rFonts w:ascii="Arial" w:hAnsi="Arial" w:cs="Arial"/>
              </w:rPr>
              <w:t>020</w:t>
            </w:r>
            <w:r>
              <w:rPr>
                <w:rFonts w:ascii="Arial" w:hAnsi="Arial" w:cs="Arial"/>
              </w:rPr>
              <w:t>年度，奥地利的</w:t>
            </w:r>
            <w:r>
              <w:rPr>
                <w:rFonts w:ascii="Arial" w:hAnsi="Arial" w:cs="Arial"/>
              </w:rPr>
              <w:t>Voithcrane</w:t>
            </w:r>
            <w:r>
              <w:rPr>
                <w:rFonts w:ascii="Arial" w:hAnsi="Arial" w:cs="Arial"/>
              </w:rPr>
              <w:t>实现收入</w:t>
            </w:r>
            <w:r>
              <w:rPr>
                <w:rFonts w:ascii="Arial" w:hAnsi="Arial" w:cs="Arial" w:hint="eastAsia"/>
              </w:rPr>
              <w:t>2</w:t>
            </w:r>
            <w:r>
              <w:rPr>
                <w:rFonts w:ascii="Arial" w:hAnsi="Arial" w:cs="Arial"/>
              </w:rPr>
              <w:t>5</w:t>
            </w:r>
            <w:r>
              <w:rPr>
                <w:rFonts w:ascii="Arial" w:hAnsi="Arial" w:cs="Arial" w:hint="eastAsia"/>
              </w:rPr>
              <w:t>,</w:t>
            </w:r>
            <w:r>
              <w:rPr>
                <w:rFonts w:ascii="Arial" w:hAnsi="Arial" w:cs="Arial"/>
              </w:rPr>
              <w:t>217.6</w:t>
            </w:r>
            <w:r>
              <w:rPr>
                <w:rFonts w:ascii="Arial" w:hAnsi="Arial" w:cs="Arial"/>
              </w:rPr>
              <w:t>万元，</w:t>
            </w:r>
            <w:r w:rsidR="00855B12">
              <w:rPr>
                <w:rFonts w:ascii="Arial" w:hAnsi="Arial" w:cs="Arial"/>
              </w:rPr>
              <w:t>净</w:t>
            </w:r>
            <w:r>
              <w:rPr>
                <w:rFonts w:ascii="Arial" w:hAnsi="Arial" w:cs="Arial"/>
              </w:rPr>
              <w:t>利润</w:t>
            </w:r>
            <w:r>
              <w:rPr>
                <w:rFonts w:ascii="Arial" w:hAnsi="Arial" w:cs="Arial" w:hint="eastAsia"/>
              </w:rPr>
              <w:t>2</w:t>
            </w:r>
            <w:r>
              <w:rPr>
                <w:rFonts w:ascii="Arial" w:hAnsi="Arial" w:cs="Arial"/>
              </w:rPr>
              <w:t>,797.62</w:t>
            </w:r>
            <w:r>
              <w:rPr>
                <w:rFonts w:ascii="Arial" w:hAnsi="Arial" w:cs="Arial"/>
              </w:rPr>
              <w:t>万元；</w:t>
            </w:r>
            <w:r w:rsidR="00855B12">
              <w:rPr>
                <w:rFonts w:ascii="Arial" w:hAnsi="Arial" w:cs="Arial"/>
              </w:rPr>
              <w:t>国电大力实现收入</w:t>
            </w:r>
            <w:r w:rsidR="00855B12" w:rsidRPr="00855B12">
              <w:rPr>
                <w:rFonts w:ascii="Arial" w:hAnsi="Arial" w:cs="Arial"/>
              </w:rPr>
              <w:t>12,053.30</w:t>
            </w:r>
            <w:r w:rsidR="00855B12">
              <w:rPr>
                <w:rFonts w:ascii="Arial" w:hAnsi="Arial" w:cs="Arial"/>
              </w:rPr>
              <w:t>万元，净利润</w:t>
            </w:r>
            <w:r w:rsidR="00855B12">
              <w:rPr>
                <w:rFonts w:ascii="Arial" w:hAnsi="Arial" w:cs="Arial" w:hint="eastAsia"/>
              </w:rPr>
              <w:t>3</w:t>
            </w:r>
            <w:r w:rsidR="00855B12">
              <w:rPr>
                <w:rFonts w:ascii="Arial" w:hAnsi="Arial" w:cs="Arial"/>
              </w:rPr>
              <w:t>,787.28</w:t>
            </w:r>
            <w:r w:rsidR="00855B12">
              <w:rPr>
                <w:rFonts w:ascii="Arial" w:hAnsi="Arial" w:cs="Arial"/>
              </w:rPr>
              <w:t>万元。</w:t>
            </w:r>
          </w:p>
          <w:p w:rsidR="00855B12" w:rsidRPr="00855B12" w:rsidRDefault="00855B12" w:rsidP="00856907">
            <w:pPr>
              <w:ind w:firstLineChars="200" w:firstLine="420"/>
              <w:rPr>
                <w:rFonts w:ascii="Arial" w:hAnsi="Arial" w:cs="Arial"/>
              </w:rPr>
            </w:pPr>
          </w:p>
          <w:p w:rsidR="00101D97" w:rsidRDefault="00101D97" w:rsidP="00101D97">
            <w:pPr>
              <w:pStyle w:val="a3"/>
              <w:numPr>
                <w:ilvl w:val="0"/>
                <w:numId w:val="1"/>
              </w:numPr>
              <w:ind w:firstLineChars="0"/>
              <w:rPr>
                <w:rFonts w:ascii="Arial" w:hAnsi="Arial" w:cs="Arial"/>
              </w:rPr>
            </w:pPr>
            <w:r w:rsidRPr="00101D97">
              <w:rPr>
                <w:rFonts w:ascii="Arial" w:hAnsi="Arial" w:cs="Arial" w:hint="eastAsia"/>
              </w:rPr>
              <w:t>公司所处行业</w:t>
            </w:r>
            <w:r>
              <w:rPr>
                <w:rFonts w:ascii="Arial" w:hAnsi="Arial" w:cs="Arial" w:hint="eastAsia"/>
              </w:rPr>
              <w:t>情况</w:t>
            </w:r>
            <w:r w:rsidRPr="00101D97">
              <w:rPr>
                <w:rFonts w:ascii="Arial" w:hAnsi="Arial" w:cs="Arial" w:hint="eastAsia"/>
              </w:rPr>
              <w:t>介绍</w:t>
            </w:r>
          </w:p>
          <w:p w:rsidR="00C32D22" w:rsidRDefault="00BC2132" w:rsidP="00DE1C0F">
            <w:pPr>
              <w:ind w:firstLineChars="200" w:firstLine="420"/>
              <w:rPr>
                <w:rFonts w:ascii="Arial" w:hAnsi="Arial" w:cs="Arial"/>
              </w:rPr>
            </w:pPr>
            <w:r>
              <w:rPr>
                <w:rFonts w:ascii="Arial" w:hAnsi="Arial" w:cs="Arial" w:hint="eastAsia"/>
              </w:rPr>
              <w:t>我国目前阶段，</w:t>
            </w:r>
            <w:r w:rsidRPr="00BC2132">
              <w:rPr>
                <w:rFonts w:ascii="Arial" w:hAnsi="Arial" w:cs="Arial" w:hint="eastAsia"/>
              </w:rPr>
              <w:t>下游企业对物料搬运设备的效率、性能、安全、智能更加关注，欧式起重机、自动化起重机、智能化起重机的渗透率持续上升。</w:t>
            </w:r>
          </w:p>
          <w:p w:rsidR="00BC2132" w:rsidRPr="00BC2132" w:rsidRDefault="00BC2132" w:rsidP="00BC2132">
            <w:pPr>
              <w:ind w:firstLineChars="200" w:firstLine="42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Pr="00BC2132">
              <w:rPr>
                <w:rFonts w:ascii="Arial" w:hAnsi="Arial" w:cs="Arial"/>
              </w:rPr>
              <w:t>自动化、智能化持续引领行业升级的浪潮</w:t>
            </w:r>
          </w:p>
          <w:p w:rsidR="00BC2132" w:rsidRPr="00BC2132" w:rsidRDefault="00BC2132" w:rsidP="00BC2132">
            <w:pPr>
              <w:ind w:firstLineChars="200" w:firstLine="420"/>
              <w:rPr>
                <w:rFonts w:ascii="Arial" w:hAnsi="Arial" w:cs="Arial"/>
              </w:rPr>
            </w:pPr>
            <w:r w:rsidRPr="00BC2132">
              <w:rPr>
                <w:rFonts w:ascii="Arial" w:hAnsi="Arial" w:cs="Arial" w:hint="eastAsia"/>
              </w:rPr>
              <w:t>公司提供的起重设备可装备智能控制系统，与</w:t>
            </w:r>
            <w:r w:rsidRPr="00BC2132">
              <w:rPr>
                <w:rFonts w:ascii="Arial" w:hAnsi="Arial" w:cs="Arial" w:hint="eastAsia"/>
              </w:rPr>
              <w:t>MES/ERP</w:t>
            </w:r>
            <w:r w:rsidRPr="00BC2132">
              <w:rPr>
                <w:rFonts w:ascii="Arial" w:hAnsi="Arial" w:cs="Arial" w:hint="eastAsia"/>
              </w:rPr>
              <w:t>无缝对接，实现全自动化物料搬运，通过集成高速运行精准定位、智能防摇、非标定制吊具和起升小车等，帮助客户打造数字化车间和智能制造车间，保障客户提升生产安全和效率，以及提升客户组织效率。</w:t>
            </w:r>
          </w:p>
          <w:p w:rsidR="005F6296" w:rsidRDefault="00BC2132" w:rsidP="00DE1C0F">
            <w:pPr>
              <w:ind w:firstLineChars="200" w:firstLine="42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BC2132">
              <w:rPr>
                <w:rFonts w:ascii="Arial" w:hAnsi="Arial" w:cs="Arial" w:hint="eastAsia"/>
              </w:rPr>
              <w:t>下游制造升级对中高端物料搬运设备需求增加</w:t>
            </w:r>
          </w:p>
          <w:p w:rsidR="00B844C9" w:rsidRPr="00B844C9" w:rsidRDefault="00B844C9" w:rsidP="00B844C9">
            <w:pPr>
              <w:ind w:firstLineChars="200" w:firstLine="420"/>
              <w:rPr>
                <w:rFonts w:ascii="Arial" w:hAnsi="Arial" w:cs="Arial"/>
              </w:rPr>
            </w:pPr>
            <w:r w:rsidRPr="00B844C9">
              <w:rPr>
                <w:rFonts w:ascii="Arial" w:hAnsi="Arial" w:cs="Arial" w:hint="eastAsia"/>
              </w:rPr>
              <w:t>国内的制造业投资现</w:t>
            </w:r>
            <w:r>
              <w:rPr>
                <w:rFonts w:ascii="Arial" w:hAnsi="Arial" w:cs="Arial" w:hint="eastAsia"/>
              </w:rPr>
              <w:t>在多由头部企业、追求高质量发展的优势企业进行，</w:t>
            </w:r>
            <w:r w:rsidRPr="00B844C9">
              <w:rPr>
                <w:rFonts w:ascii="Arial" w:hAnsi="Arial" w:cs="Arial" w:hint="eastAsia"/>
              </w:rPr>
              <w:t>出于降本增效的考虑，</w:t>
            </w:r>
            <w:r>
              <w:rPr>
                <w:rFonts w:ascii="Arial" w:hAnsi="Arial" w:cs="Arial" w:hint="eastAsia"/>
              </w:rPr>
              <w:t>它们</w:t>
            </w:r>
            <w:r w:rsidRPr="00B844C9">
              <w:rPr>
                <w:rFonts w:ascii="Arial" w:hAnsi="Arial" w:cs="Arial" w:hint="eastAsia"/>
              </w:rPr>
              <w:t>更加注重提高生产设备的自动化程度，提升生产制造的智能化程度，以及生产过程的高可靠性和安全性，更注重投资的全生命周期效费比，因此更倾向于选择高性价比的中高端设备；同时增加单位生产空间的设备部署密度，以实现人工替代，降低劳动强度，提高生产效率。</w:t>
            </w:r>
          </w:p>
          <w:p w:rsidR="00B844C9" w:rsidRPr="00B844C9" w:rsidRDefault="00B844C9" w:rsidP="00B844C9">
            <w:pPr>
              <w:ind w:firstLineChars="200" w:firstLine="420"/>
              <w:rPr>
                <w:rFonts w:ascii="Arial" w:hAnsi="Arial" w:cs="Arial"/>
              </w:rPr>
            </w:pPr>
            <w:r w:rsidRPr="00B844C9">
              <w:rPr>
                <w:rFonts w:ascii="Arial" w:hAnsi="Arial" w:cs="Arial" w:hint="eastAsia"/>
              </w:rPr>
              <w:t>公司产品始终坚持定位中高端，不断向市场提供高性价比的产品，以及全生</w:t>
            </w:r>
            <w:r w:rsidRPr="00B844C9">
              <w:rPr>
                <w:rFonts w:ascii="Arial" w:hAnsi="Arial" w:cs="Arial" w:hint="eastAsia"/>
              </w:rPr>
              <w:lastRenderedPageBreak/>
              <w:t>命周期的优质服务。</w:t>
            </w:r>
          </w:p>
          <w:p w:rsidR="00BC2132" w:rsidRPr="00B844C9" w:rsidRDefault="00BC2132" w:rsidP="00DE1C0F">
            <w:pPr>
              <w:ind w:firstLineChars="200" w:firstLine="420"/>
              <w:rPr>
                <w:rFonts w:ascii="Arial" w:hAnsi="Arial" w:cs="Arial"/>
              </w:rPr>
            </w:pPr>
          </w:p>
          <w:p w:rsidR="00101D97" w:rsidRDefault="00101D97" w:rsidP="00101D97">
            <w:pPr>
              <w:pStyle w:val="a3"/>
              <w:numPr>
                <w:ilvl w:val="0"/>
                <w:numId w:val="1"/>
              </w:numPr>
              <w:ind w:firstLineChars="0"/>
              <w:rPr>
                <w:rFonts w:ascii="Arial" w:hAnsi="Arial" w:cs="Arial"/>
              </w:rPr>
            </w:pPr>
            <w:r>
              <w:rPr>
                <w:rFonts w:ascii="Arial" w:hAnsi="Arial" w:cs="Arial" w:hint="eastAsia"/>
              </w:rPr>
              <w:t>公司</w:t>
            </w:r>
            <w:r w:rsidR="001E63C7">
              <w:rPr>
                <w:rFonts w:ascii="Arial" w:hAnsi="Arial" w:cs="Arial" w:hint="eastAsia"/>
              </w:rPr>
              <w:t>起重机</w:t>
            </w:r>
            <w:r>
              <w:rPr>
                <w:rFonts w:ascii="Arial" w:hAnsi="Arial" w:cs="Arial" w:hint="eastAsia"/>
              </w:rPr>
              <w:t>产品优势</w:t>
            </w:r>
          </w:p>
          <w:p w:rsidR="00C32D22" w:rsidRDefault="00C32D22" w:rsidP="00C32D22">
            <w:pPr>
              <w:ind w:firstLineChars="200" w:firstLine="420"/>
              <w:rPr>
                <w:rFonts w:ascii="Arial" w:hAnsi="Arial" w:cs="Arial"/>
              </w:rPr>
            </w:pPr>
            <w:r w:rsidRPr="00DE1C0F">
              <w:rPr>
                <w:rFonts w:ascii="Arial" w:hAnsi="Arial" w:cs="Arial" w:hint="eastAsia"/>
              </w:rPr>
              <w:t>公司标准化产品与国内目前通用产品相比，自重平均降低</w:t>
            </w:r>
            <w:r w:rsidRPr="00DE1C0F">
              <w:rPr>
                <w:rFonts w:ascii="Arial" w:hAnsi="Arial" w:cs="Arial" w:hint="eastAsia"/>
              </w:rPr>
              <w:t>30%</w:t>
            </w:r>
            <w:r w:rsidRPr="00DE1C0F">
              <w:rPr>
                <w:rFonts w:ascii="Arial" w:hAnsi="Arial" w:cs="Arial" w:hint="eastAsia"/>
              </w:rPr>
              <w:t>，结构紧凑、节能节材，优势明显；</w:t>
            </w:r>
          </w:p>
          <w:p w:rsidR="00C32D22" w:rsidRDefault="00C32D22" w:rsidP="00C32D22">
            <w:pPr>
              <w:ind w:firstLineChars="200" w:firstLine="420"/>
              <w:rPr>
                <w:rFonts w:ascii="Arial" w:hAnsi="Arial" w:cs="Arial"/>
              </w:rPr>
            </w:pPr>
            <w:r w:rsidRPr="00DE1C0F">
              <w:rPr>
                <w:rFonts w:ascii="Arial" w:hAnsi="Arial" w:cs="Arial" w:hint="eastAsia"/>
              </w:rPr>
              <w:t>公司产品相比于传统的相同起重量、相同跨度和相同工作级别的起重设备在运行过程中能耗能降低</w:t>
            </w:r>
            <w:r w:rsidRPr="00DE1C0F">
              <w:rPr>
                <w:rFonts w:ascii="Arial" w:hAnsi="Arial" w:cs="Arial" w:hint="eastAsia"/>
              </w:rPr>
              <w:t>30%</w:t>
            </w:r>
            <w:r w:rsidRPr="00DE1C0F">
              <w:rPr>
                <w:rFonts w:ascii="Arial" w:hAnsi="Arial" w:cs="Arial" w:hint="eastAsia"/>
              </w:rPr>
              <w:t>以上；</w:t>
            </w:r>
          </w:p>
          <w:p w:rsidR="00C32D22" w:rsidRDefault="00C32D22" w:rsidP="00C32D22">
            <w:pPr>
              <w:ind w:firstLineChars="200" w:firstLine="420"/>
              <w:rPr>
                <w:rFonts w:ascii="Arial" w:hAnsi="Arial" w:cs="Arial"/>
              </w:rPr>
            </w:pPr>
            <w:r w:rsidRPr="00DE1C0F">
              <w:rPr>
                <w:rFonts w:ascii="Arial" w:hAnsi="Arial" w:cs="Arial" w:hint="eastAsia"/>
              </w:rPr>
              <w:t>公司产品由于优良的关键部</w:t>
            </w:r>
            <w:r>
              <w:rPr>
                <w:rFonts w:ascii="Arial" w:hAnsi="Arial" w:cs="Arial" w:hint="eastAsia"/>
              </w:rPr>
              <w:t>件（减速器、制动器、联轴器、电机）选用和变频控制技术的运用，</w:t>
            </w:r>
            <w:r w:rsidRPr="00DE1C0F">
              <w:rPr>
                <w:rFonts w:ascii="Arial" w:hAnsi="Arial" w:cs="Arial" w:hint="eastAsia"/>
              </w:rPr>
              <w:t>设备运行噪音</w:t>
            </w:r>
            <w:r w:rsidR="00755E47">
              <w:rPr>
                <w:rFonts w:ascii="Arial" w:hAnsi="Arial" w:cs="Arial" w:hint="eastAsia"/>
              </w:rPr>
              <w:t>可</w:t>
            </w:r>
            <w:bookmarkStart w:id="0" w:name="_GoBack"/>
            <w:bookmarkEnd w:id="0"/>
            <w:r w:rsidRPr="00DE1C0F">
              <w:rPr>
                <w:rFonts w:ascii="Arial" w:hAnsi="Arial" w:cs="Arial" w:hint="eastAsia"/>
              </w:rPr>
              <w:t>低于</w:t>
            </w:r>
            <w:r w:rsidRPr="00DE1C0F">
              <w:rPr>
                <w:rFonts w:ascii="Arial" w:hAnsi="Arial" w:cs="Arial" w:hint="eastAsia"/>
              </w:rPr>
              <w:t>74dB</w:t>
            </w:r>
            <w:r w:rsidRPr="00DE1C0F">
              <w:rPr>
                <w:rFonts w:ascii="Arial" w:hAnsi="Arial" w:cs="Arial" w:hint="eastAsia"/>
              </w:rPr>
              <w:t>，在设备的运行性能大大改善的基础上，很好的改善了操作人员的工作环境和操作感受；</w:t>
            </w:r>
          </w:p>
          <w:p w:rsidR="00C32D22" w:rsidRDefault="00C32D22" w:rsidP="00C32D22">
            <w:pPr>
              <w:ind w:firstLineChars="200" w:firstLine="420"/>
              <w:rPr>
                <w:rFonts w:ascii="Arial" w:hAnsi="Arial" w:cs="Arial"/>
              </w:rPr>
            </w:pPr>
            <w:r w:rsidRPr="00DE1C0F">
              <w:rPr>
                <w:rFonts w:ascii="Arial" w:hAnsi="Arial" w:cs="Arial" w:hint="eastAsia"/>
              </w:rPr>
              <w:t>公司起重机无故障工作时间大幅提升、易损件更换周期增加，大幅降低因设备故障引起的客户损失以及起重机维护成本，提高客户工作效率。</w:t>
            </w:r>
          </w:p>
          <w:p w:rsidR="00C32D22" w:rsidRDefault="00C32D22" w:rsidP="00C32D22">
            <w:pPr>
              <w:pStyle w:val="a3"/>
              <w:ind w:left="360" w:firstLineChars="0" w:firstLine="0"/>
              <w:rPr>
                <w:rFonts w:ascii="Arial" w:hAnsi="Arial" w:cs="Arial"/>
              </w:rPr>
            </w:pPr>
          </w:p>
          <w:p w:rsidR="001E63C7" w:rsidRDefault="001E63C7" w:rsidP="00101D97">
            <w:pPr>
              <w:pStyle w:val="a3"/>
              <w:numPr>
                <w:ilvl w:val="0"/>
                <w:numId w:val="1"/>
              </w:numPr>
              <w:ind w:firstLineChars="0"/>
              <w:rPr>
                <w:rFonts w:ascii="Arial" w:hAnsi="Arial" w:cs="Arial"/>
              </w:rPr>
            </w:pPr>
            <w:r>
              <w:rPr>
                <w:rFonts w:ascii="Arial" w:hAnsi="Arial" w:cs="Arial"/>
              </w:rPr>
              <w:t>公司高空作业平台产品发展情况</w:t>
            </w:r>
          </w:p>
          <w:p w:rsidR="009A7DDE" w:rsidRPr="009A7DDE" w:rsidRDefault="009A7DDE" w:rsidP="009A7DDE">
            <w:pPr>
              <w:ind w:firstLineChars="200" w:firstLine="420"/>
              <w:rPr>
                <w:rFonts w:ascii="Arial" w:hAnsi="Arial" w:cs="Arial"/>
              </w:rPr>
            </w:pPr>
            <w:r w:rsidRPr="009A7DDE">
              <w:rPr>
                <w:rFonts w:ascii="Arial" w:hAnsi="Arial" w:cs="Arial" w:hint="eastAsia"/>
              </w:rPr>
              <w:t>高空作业平台是将作业人员及工器具通过作业平台举升至指定位置进行施工操作的设备。随着劳动力成本和安全意识的提升，“机械化换人、自动化减人”的驱动下，高空作业平台高空作业设备大量替代脚手架、吊篮、登高梯等设施，目前在国内成长较快。</w:t>
            </w:r>
          </w:p>
          <w:p w:rsidR="009A7DDE" w:rsidRPr="009A7DDE" w:rsidRDefault="009A7DDE" w:rsidP="009A7DDE">
            <w:pPr>
              <w:ind w:firstLineChars="200" w:firstLine="420"/>
              <w:rPr>
                <w:rFonts w:ascii="Arial" w:hAnsi="Arial" w:cs="Arial"/>
              </w:rPr>
            </w:pPr>
            <w:r w:rsidRPr="009A7DDE">
              <w:rPr>
                <w:rFonts w:ascii="Arial" w:hAnsi="Arial" w:cs="Arial" w:hint="eastAsia"/>
              </w:rPr>
              <w:t>公司在这一领域始终坚持“差异化”竞争策略，不断为客户提供合适产品和优质服务。常州基地于</w:t>
            </w:r>
            <w:r w:rsidRPr="009A7DDE">
              <w:rPr>
                <w:rFonts w:ascii="Arial" w:hAnsi="Arial" w:cs="Arial" w:hint="eastAsia"/>
              </w:rPr>
              <w:t>20</w:t>
            </w:r>
            <w:r w:rsidRPr="009A7DDE">
              <w:rPr>
                <w:rFonts w:ascii="Arial" w:hAnsi="Arial" w:cs="Arial"/>
              </w:rPr>
              <w:t>20</w:t>
            </w:r>
            <w:r w:rsidRPr="009A7DDE">
              <w:rPr>
                <w:rFonts w:ascii="Arial" w:hAnsi="Arial" w:cs="Arial"/>
              </w:rPr>
              <w:t>年底开始施工。</w:t>
            </w:r>
          </w:p>
          <w:p w:rsidR="00470044" w:rsidRPr="009A7DDE" w:rsidRDefault="00470044" w:rsidP="009A7DDE">
            <w:pPr>
              <w:pStyle w:val="a3"/>
              <w:ind w:left="360" w:firstLineChars="0" w:firstLine="0"/>
              <w:rPr>
                <w:rFonts w:ascii="Arial" w:hAnsi="Arial" w:cs="Arial"/>
              </w:rPr>
            </w:pPr>
          </w:p>
          <w:p w:rsidR="00101D97" w:rsidRPr="00101D97" w:rsidRDefault="00101D97" w:rsidP="00101D97">
            <w:pPr>
              <w:pStyle w:val="a3"/>
              <w:numPr>
                <w:ilvl w:val="0"/>
                <w:numId w:val="1"/>
              </w:numPr>
              <w:ind w:firstLineChars="0"/>
              <w:rPr>
                <w:rFonts w:ascii="Arial" w:hAnsi="Arial" w:cs="Arial"/>
              </w:rPr>
            </w:pPr>
            <w:r>
              <w:rPr>
                <w:rFonts w:ascii="Arial" w:hAnsi="Arial" w:cs="Arial" w:hint="eastAsia"/>
              </w:rPr>
              <w:t>公司未来发展方向</w:t>
            </w:r>
          </w:p>
          <w:p w:rsidR="00101D97" w:rsidRPr="00842A0A" w:rsidRDefault="00842A0A" w:rsidP="00842A0A">
            <w:pPr>
              <w:ind w:firstLineChars="200" w:firstLine="420"/>
              <w:rPr>
                <w:rFonts w:ascii="Arial" w:hAnsi="Arial" w:cs="Arial"/>
              </w:rPr>
            </w:pPr>
            <w:r>
              <w:rPr>
                <w:rFonts w:ascii="Arial" w:hAnsi="Arial" w:cs="Arial" w:hint="eastAsia"/>
              </w:rPr>
              <w:t>公司上市后，一直</w:t>
            </w:r>
            <w:r w:rsidRPr="00842A0A">
              <w:rPr>
                <w:rFonts w:ascii="Arial" w:hAnsi="Arial" w:cs="Arial" w:hint="eastAsia"/>
              </w:rPr>
              <w:t>贯彻“以产带投，以投促产，产投融合，协同发展”的双轮驱动发展战略，在内生方面，提供“智能化、自动化、全球化、标准化、服务化”的智能物料搬运服务解决方案，实现产业驱动；在外延方面，聚焦于“产业链投资、智能产业投资、产业整合、国际并购”，实现投资驱动。</w:t>
            </w:r>
          </w:p>
        </w:tc>
      </w:tr>
      <w:tr w:rsidR="00856907" w:rsidRPr="004B23B8" w:rsidTr="00C90F42">
        <w:trPr>
          <w:jc w:val="center"/>
        </w:trPr>
        <w:tc>
          <w:tcPr>
            <w:tcW w:w="719" w:type="dxa"/>
            <w:tcBorders>
              <w:left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sidRPr="004B23B8">
              <w:rPr>
                <w:rFonts w:ascii="Arial" w:hAnsi="Arial" w:cs="Arial"/>
              </w:rPr>
              <w:lastRenderedPageBreak/>
              <w:t>附件</w:t>
            </w:r>
          </w:p>
        </w:tc>
        <w:tc>
          <w:tcPr>
            <w:tcW w:w="8463" w:type="dxa"/>
            <w:tcBorders>
              <w:right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Pr>
                <w:rFonts w:ascii="Arial" w:hAnsi="Arial" w:cs="Arial" w:hint="eastAsia"/>
              </w:rPr>
              <w:t>无</w:t>
            </w:r>
          </w:p>
        </w:tc>
      </w:tr>
      <w:tr w:rsidR="00856907" w:rsidRPr="004B23B8" w:rsidTr="00C90F42">
        <w:trPr>
          <w:jc w:val="center"/>
        </w:trPr>
        <w:tc>
          <w:tcPr>
            <w:tcW w:w="719" w:type="dxa"/>
            <w:tcBorders>
              <w:left w:val="single" w:sz="12" w:space="0" w:color="auto"/>
              <w:bottom w:val="single" w:sz="12" w:space="0" w:color="auto"/>
            </w:tcBorders>
            <w:shd w:val="clear" w:color="auto" w:fill="auto"/>
            <w:vAlign w:val="center"/>
          </w:tcPr>
          <w:p w:rsidR="008A2E5B" w:rsidRPr="004B23B8" w:rsidRDefault="008A2E5B" w:rsidP="00C90F42">
            <w:pPr>
              <w:spacing w:beforeLines="50" w:before="156" w:afterLines="50" w:after="156" w:line="300" w:lineRule="auto"/>
              <w:jc w:val="center"/>
              <w:rPr>
                <w:rFonts w:ascii="Arial" w:hAnsi="Arial" w:cs="Arial"/>
              </w:rPr>
            </w:pPr>
            <w:r w:rsidRPr="004B23B8">
              <w:rPr>
                <w:rFonts w:ascii="Arial" w:hAnsi="Arial" w:cs="Arial"/>
              </w:rPr>
              <w:t>日期</w:t>
            </w:r>
          </w:p>
        </w:tc>
        <w:tc>
          <w:tcPr>
            <w:tcW w:w="8463" w:type="dxa"/>
            <w:tcBorders>
              <w:bottom w:val="single" w:sz="12" w:space="0" w:color="auto"/>
              <w:right w:val="single" w:sz="12" w:space="0" w:color="auto"/>
            </w:tcBorders>
            <w:shd w:val="clear" w:color="auto" w:fill="auto"/>
            <w:vAlign w:val="center"/>
          </w:tcPr>
          <w:p w:rsidR="008A2E5B" w:rsidRPr="004B23B8" w:rsidRDefault="008A2E5B" w:rsidP="003F4866">
            <w:pPr>
              <w:spacing w:beforeLines="50" w:before="156" w:afterLines="50" w:after="156" w:line="300" w:lineRule="auto"/>
              <w:jc w:val="center"/>
              <w:rPr>
                <w:rFonts w:ascii="Arial" w:hAnsi="Arial" w:cs="Arial"/>
              </w:rPr>
            </w:pPr>
            <w:r>
              <w:rPr>
                <w:rFonts w:ascii="Arial" w:hAnsi="Arial" w:cs="Arial" w:hint="eastAsia"/>
              </w:rPr>
              <w:t>20</w:t>
            </w:r>
            <w:r>
              <w:rPr>
                <w:rFonts w:ascii="Arial" w:hAnsi="Arial" w:cs="Arial"/>
              </w:rPr>
              <w:t>21</w:t>
            </w:r>
            <w:r>
              <w:rPr>
                <w:rFonts w:ascii="Arial" w:hAnsi="Arial" w:cs="Arial" w:hint="eastAsia"/>
              </w:rPr>
              <w:t>年</w:t>
            </w:r>
            <w:r w:rsidR="003F4866">
              <w:rPr>
                <w:rFonts w:ascii="Arial" w:hAnsi="Arial" w:cs="Arial"/>
              </w:rPr>
              <w:t>5</w:t>
            </w:r>
            <w:r>
              <w:rPr>
                <w:rFonts w:ascii="Arial" w:hAnsi="Arial" w:cs="Arial" w:hint="eastAsia"/>
              </w:rPr>
              <w:t>月</w:t>
            </w:r>
            <w:r w:rsidR="003F4866">
              <w:rPr>
                <w:rFonts w:ascii="Arial" w:hAnsi="Arial" w:cs="Arial"/>
              </w:rPr>
              <w:t>6</w:t>
            </w:r>
            <w:r>
              <w:rPr>
                <w:rFonts w:ascii="Arial" w:hAnsi="Arial" w:cs="Arial" w:hint="eastAsia"/>
              </w:rPr>
              <w:t>日</w:t>
            </w:r>
          </w:p>
        </w:tc>
      </w:tr>
    </w:tbl>
    <w:p w:rsidR="008A2E5B" w:rsidRPr="005D71BE" w:rsidRDefault="008A2E5B" w:rsidP="008A2E5B">
      <w:pPr>
        <w:spacing w:beforeLines="50" w:before="156" w:afterLines="50" w:after="156" w:line="360" w:lineRule="auto"/>
        <w:rPr>
          <w:rFonts w:ascii="Arial" w:hAnsi="Arial" w:cs="Arial"/>
          <w:b/>
          <w:sz w:val="24"/>
          <w:szCs w:val="24"/>
        </w:rPr>
      </w:pPr>
    </w:p>
    <w:p w:rsidR="00FB255D" w:rsidRDefault="00FB255D"/>
    <w:sectPr w:rsidR="00FB255D" w:rsidSect="00867A34">
      <w:pgSz w:w="11906" w:h="16838"/>
      <w:pgMar w:top="1440" w:right="1797" w:bottom="85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9E" w:rsidRDefault="00745B9E" w:rsidP="00745B9E">
      <w:r>
        <w:separator/>
      </w:r>
    </w:p>
  </w:endnote>
  <w:endnote w:type="continuationSeparator" w:id="0">
    <w:p w:rsidR="00745B9E" w:rsidRDefault="00745B9E" w:rsidP="0074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9E" w:rsidRDefault="00745B9E" w:rsidP="00745B9E">
      <w:r>
        <w:separator/>
      </w:r>
    </w:p>
  </w:footnote>
  <w:footnote w:type="continuationSeparator" w:id="0">
    <w:p w:rsidR="00745B9E" w:rsidRDefault="00745B9E" w:rsidP="00745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23664"/>
    <w:multiLevelType w:val="hybridMultilevel"/>
    <w:tmpl w:val="A2B815C6"/>
    <w:lvl w:ilvl="0" w:tplc="C7E2A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5B"/>
    <w:rsid w:val="00027ECA"/>
    <w:rsid w:val="000839AF"/>
    <w:rsid w:val="000E67B2"/>
    <w:rsid w:val="000F5B6C"/>
    <w:rsid w:val="00101D97"/>
    <w:rsid w:val="001A7DB5"/>
    <w:rsid w:val="001C480E"/>
    <w:rsid w:val="001C5219"/>
    <w:rsid w:val="001E63C7"/>
    <w:rsid w:val="00256384"/>
    <w:rsid w:val="003F2B78"/>
    <w:rsid w:val="003F4866"/>
    <w:rsid w:val="00470044"/>
    <w:rsid w:val="004712EF"/>
    <w:rsid w:val="005F6296"/>
    <w:rsid w:val="006A0C4C"/>
    <w:rsid w:val="006C471D"/>
    <w:rsid w:val="0073465F"/>
    <w:rsid w:val="00745B9E"/>
    <w:rsid w:val="00755E47"/>
    <w:rsid w:val="007F1FCE"/>
    <w:rsid w:val="00800E37"/>
    <w:rsid w:val="00842A0A"/>
    <w:rsid w:val="00855B12"/>
    <w:rsid w:val="00856907"/>
    <w:rsid w:val="0089642D"/>
    <w:rsid w:val="008A2E5B"/>
    <w:rsid w:val="008B5E85"/>
    <w:rsid w:val="0093628C"/>
    <w:rsid w:val="009A7DDE"/>
    <w:rsid w:val="00A96239"/>
    <w:rsid w:val="00AA0179"/>
    <w:rsid w:val="00AB72CB"/>
    <w:rsid w:val="00B844C9"/>
    <w:rsid w:val="00BB1D48"/>
    <w:rsid w:val="00BC2132"/>
    <w:rsid w:val="00C048E8"/>
    <w:rsid w:val="00C32D22"/>
    <w:rsid w:val="00C35A61"/>
    <w:rsid w:val="00C718D4"/>
    <w:rsid w:val="00C84879"/>
    <w:rsid w:val="00C9643E"/>
    <w:rsid w:val="00CA6915"/>
    <w:rsid w:val="00DE1C0F"/>
    <w:rsid w:val="00E565C2"/>
    <w:rsid w:val="00E90B4C"/>
    <w:rsid w:val="00E92E63"/>
    <w:rsid w:val="00EB1E16"/>
    <w:rsid w:val="00EE0AB0"/>
    <w:rsid w:val="00FB0FA8"/>
    <w:rsid w:val="00FB255D"/>
    <w:rsid w:val="00FD1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1E69E1-E75B-4E33-9BB6-FEA625FF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D97"/>
    <w:pPr>
      <w:ind w:firstLineChars="200" w:firstLine="420"/>
    </w:pPr>
  </w:style>
  <w:style w:type="paragraph" w:styleId="a4">
    <w:name w:val="header"/>
    <w:basedOn w:val="a"/>
    <w:link w:val="Char"/>
    <w:uiPriority w:val="99"/>
    <w:unhideWhenUsed/>
    <w:rsid w:val="00745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45B9E"/>
    <w:rPr>
      <w:rFonts w:ascii="Times New Roman" w:eastAsia="宋体" w:hAnsi="Times New Roman" w:cs="Times New Roman"/>
      <w:sz w:val="18"/>
      <w:szCs w:val="18"/>
    </w:rPr>
  </w:style>
  <w:style w:type="paragraph" w:styleId="a5">
    <w:name w:val="footer"/>
    <w:basedOn w:val="a"/>
    <w:link w:val="Char0"/>
    <w:uiPriority w:val="99"/>
    <w:unhideWhenUsed/>
    <w:rsid w:val="00745B9E"/>
    <w:pPr>
      <w:tabs>
        <w:tab w:val="center" w:pos="4153"/>
        <w:tab w:val="right" w:pos="8306"/>
      </w:tabs>
      <w:snapToGrid w:val="0"/>
      <w:jc w:val="left"/>
    </w:pPr>
    <w:rPr>
      <w:sz w:val="18"/>
      <w:szCs w:val="18"/>
    </w:rPr>
  </w:style>
  <w:style w:type="character" w:customStyle="1" w:styleId="Char0">
    <w:name w:val="页脚 Char"/>
    <w:basedOn w:val="a0"/>
    <w:link w:val="a5"/>
    <w:uiPriority w:val="99"/>
    <w:rsid w:val="00745B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彭家辉</dc:creator>
  <cp:keywords/>
  <dc:description/>
  <cp:lastModifiedBy>彭家辉</cp:lastModifiedBy>
  <cp:revision>24</cp:revision>
  <dcterms:created xsi:type="dcterms:W3CDTF">2021-05-06T06:46:00Z</dcterms:created>
  <dcterms:modified xsi:type="dcterms:W3CDTF">2021-05-06T08:11:00Z</dcterms:modified>
</cp:coreProperties>
</file>