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AAD3" w14:textId="093D507A" w:rsidR="00C7607B" w:rsidRDefault="009631BE">
      <w:pPr>
        <w:spacing w:beforeLines="50" w:before="156" w:afterLines="50" w:after="156" w:line="400" w:lineRule="exact"/>
        <w:rPr>
          <w:rFonts w:ascii="宋体" w:hAnsi="宋体"/>
          <w:b/>
          <w:iCs/>
          <w:color w:val="000000"/>
          <w:sz w:val="24"/>
        </w:rPr>
      </w:pPr>
      <w:r>
        <w:rPr>
          <w:rFonts w:ascii="宋体" w:hAnsi="宋体" w:hint="eastAsia"/>
          <w:b/>
          <w:iCs/>
          <w:color w:val="000000"/>
          <w:sz w:val="24"/>
        </w:rPr>
        <w:t xml:space="preserve">证券代码：603105                                </w:t>
      </w:r>
      <w:r w:rsidR="00C85F70">
        <w:rPr>
          <w:rFonts w:ascii="宋体" w:hAnsi="宋体"/>
          <w:b/>
          <w:iCs/>
          <w:color w:val="000000"/>
          <w:sz w:val="24"/>
        </w:rPr>
        <w:t xml:space="preserve">   </w:t>
      </w:r>
      <w:r>
        <w:rPr>
          <w:rFonts w:ascii="宋体" w:hAnsi="宋体" w:hint="eastAsia"/>
          <w:b/>
          <w:iCs/>
          <w:color w:val="000000"/>
          <w:sz w:val="24"/>
        </w:rPr>
        <w:t>证券简称：芯能科技</w:t>
      </w:r>
    </w:p>
    <w:p w14:paraId="23DF1F85" w14:textId="77777777" w:rsidR="00C7607B" w:rsidRDefault="009631B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浙江芯能光伏科技股份有限公司</w:t>
      </w:r>
    </w:p>
    <w:p w14:paraId="41C8F401" w14:textId="77777777" w:rsidR="00C7607B" w:rsidRDefault="009631B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5545972A" w14:textId="6C798366" w:rsidR="00C7607B" w:rsidRDefault="009631BE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编号：20</w:t>
      </w:r>
      <w:r w:rsidR="00E328A4">
        <w:rPr>
          <w:rFonts w:ascii="宋体" w:hAnsi="宋体"/>
          <w:bCs/>
          <w:iCs/>
          <w:color w:val="000000"/>
          <w:sz w:val="24"/>
        </w:rPr>
        <w:t>2108</w:t>
      </w:r>
      <w:r w:rsidR="001E6D93">
        <w:rPr>
          <w:rFonts w:ascii="宋体" w:hAnsi="宋体"/>
          <w:bCs/>
          <w:iCs/>
          <w:color w:val="000000"/>
          <w:sz w:val="24"/>
        </w:rPr>
        <w:t>2</w:t>
      </w:r>
      <w:r w:rsidR="00CD5863">
        <w:rPr>
          <w:rFonts w:ascii="宋体" w:hAnsi="宋体"/>
          <w:bCs/>
          <w:iCs/>
          <w:color w:val="000000"/>
          <w:sz w:val="24"/>
        </w:rPr>
        <w:t>6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691"/>
      </w:tblGrid>
      <w:tr w:rsidR="00C7607B" w14:paraId="279F0883" w14:textId="77777777" w:rsidTr="00343F92">
        <w:trPr>
          <w:trHeight w:val="2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E4BA" w14:textId="68EA19F6" w:rsidR="00C7607B" w:rsidRPr="00343F92" w:rsidRDefault="009631B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343F92"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8D55" w14:textId="02ED7D1F" w:rsidR="00C7607B" w:rsidRDefault="009631B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>√</w:t>
            </w:r>
            <w:r w:rsidR="00343F92">
              <w:rPr>
                <w:rFonts w:ascii="Arial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</w:t>
            </w:r>
            <w:r w:rsidR="00932EA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□分析师会议</w:t>
            </w:r>
          </w:p>
          <w:p w14:paraId="426DE6F2" w14:textId="135D39C8" w:rsidR="00C7607B" w:rsidRDefault="009631B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□媒体采访            </w:t>
            </w:r>
            <w:r w:rsidR="00932EA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□业绩说明会</w:t>
            </w:r>
          </w:p>
          <w:p w14:paraId="0D41AF81" w14:textId="0CE5AA0B" w:rsidR="00C7607B" w:rsidRDefault="009631B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□新闻发布会         </w:t>
            </w:r>
            <w:r w:rsidR="00932EA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□路演活动</w:t>
            </w:r>
          </w:p>
          <w:p w14:paraId="2BF69652" w14:textId="7E583604" w:rsidR="00C7607B" w:rsidRDefault="0064349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631BE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="009631B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2DF192F2" w14:textId="6099E24E" w:rsidR="00C7607B" w:rsidRDefault="0064349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>√</w:t>
            </w:r>
            <w:r w:rsidR="009631BE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 （</w:t>
            </w:r>
            <w:r w:rsidR="00D43C16">
              <w:rPr>
                <w:rFonts w:ascii="宋体" w:hAnsi="宋体" w:hint="eastAsia"/>
                <w:bCs/>
                <w:iCs/>
                <w:color w:val="000000"/>
                <w:sz w:val="24"/>
              </w:rPr>
              <w:t>电话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</w:t>
            </w:r>
            <w:r w:rsidR="009631BE"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</w:p>
        </w:tc>
      </w:tr>
      <w:tr w:rsidR="00C7607B" w14:paraId="761F4EFC" w14:textId="77777777" w:rsidTr="00343F92">
        <w:trPr>
          <w:trHeight w:val="14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EB7" w14:textId="77777777" w:rsidR="00C7607B" w:rsidRPr="00343F92" w:rsidRDefault="009631B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343F92">
              <w:rPr>
                <w:rFonts w:ascii="宋体" w:hAnsi="宋体" w:hint="eastAsia"/>
                <w:b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6ACF" w14:textId="1513C691" w:rsidR="003E572D" w:rsidRDefault="00CA67B2" w:rsidP="005A7BE7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华泰柏瑞</w:t>
            </w:r>
            <w:r w:rsidR="005A7BE7">
              <w:rPr>
                <w:rFonts w:ascii="宋体" w:hint="eastAsia"/>
                <w:sz w:val="24"/>
              </w:rPr>
              <w:t>基金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杜聪</w:t>
            </w:r>
          </w:p>
          <w:p w14:paraId="634556C9" w14:textId="0C70F63F" w:rsidR="00CA67B2" w:rsidRDefault="00CA67B2" w:rsidP="005A7BE7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招商证券</w:t>
            </w:r>
            <w:r w:rsidR="005A7BE7">
              <w:rPr>
                <w:rFonts w:ascii="宋体" w:hint="eastAsia"/>
                <w:sz w:val="24"/>
              </w:rPr>
              <w:t xml:space="preserve"> </w:t>
            </w:r>
            <w:r w:rsidR="005A7BE7">
              <w:rPr>
                <w:rFonts w:ascii="宋体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徐媛婷、张伟鑫</w:t>
            </w:r>
          </w:p>
        </w:tc>
      </w:tr>
      <w:tr w:rsidR="00C7607B" w14:paraId="34F60F30" w14:textId="77777777" w:rsidTr="00343F92">
        <w:trPr>
          <w:trHeight w:val="68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DF4" w14:textId="77777777" w:rsidR="00C7607B" w:rsidRPr="00343F92" w:rsidRDefault="009631B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343F92">
              <w:rPr>
                <w:rFonts w:ascii="宋体" w:hAnsi="宋体" w:hint="eastAsia"/>
                <w:b/>
                <w:iCs/>
                <w:color w:val="000000"/>
                <w:sz w:val="24"/>
              </w:rPr>
              <w:t>时间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C68" w14:textId="51933506" w:rsidR="00C7607B" w:rsidRDefault="009631BE" w:rsidP="0064349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E328A4">
              <w:rPr>
                <w:rFonts w:ascii="宋体" w:hAnsi="宋体"/>
                <w:bCs/>
                <w:iCs/>
                <w:color w:val="000000"/>
                <w:sz w:val="24"/>
              </w:rPr>
              <w:t>21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328A4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74AFF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643491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D43C1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43C16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D43C16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D43C16">
              <w:rPr>
                <w:rFonts w:ascii="宋体" w:hAnsi="宋体"/>
                <w:bCs/>
                <w:iCs/>
                <w:color w:val="000000"/>
                <w:sz w:val="24"/>
              </w:rPr>
              <w:t>30-16</w:t>
            </w:r>
            <w:r w:rsidR="00D43C16">
              <w:rPr>
                <w:rFonts w:ascii="宋体" w:hAnsi="宋体" w:hint="eastAsia"/>
                <w:bCs/>
                <w:iCs/>
                <w:color w:val="000000"/>
                <w:sz w:val="24"/>
              </w:rPr>
              <w:t>:3</w:t>
            </w:r>
            <w:r w:rsidR="00D43C16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</w:p>
        </w:tc>
      </w:tr>
      <w:tr w:rsidR="00C7607B" w14:paraId="31D7D577" w14:textId="77777777" w:rsidTr="00343F92">
        <w:trPr>
          <w:trHeight w:val="42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11F" w14:textId="77777777" w:rsidR="00C7607B" w:rsidRPr="00343F92" w:rsidRDefault="009631B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343F92">
              <w:rPr>
                <w:rFonts w:ascii="宋体" w:hAnsi="宋体" w:hint="eastAsia"/>
                <w:b/>
                <w:iCs/>
                <w:color w:val="000000"/>
                <w:sz w:val="24"/>
              </w:rPr>
              <w:t>地点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768D" w14:textId="2BD44DFF" w:rsidR="00C7607B" w:rsidRDefault="00D43C1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C7607B" w14:paraId="7AD9EF2D" w14:textId="77777777" w:rsidTr="00343F92">
        <w:trPr>
          <w:trHeight w:val="105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12B1" w14:textId="77777777" w:rsidR="00C7607B" w:rsidRPr="00343F92" w:rsidRDefault="009631B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343F92">
              <w:rPr>
                <w:rFonts w:ascii="宋体" w:hAnsi="宋体" w:hint="eastAsia"/>
                <w:b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EFAF" w14:textId="7179C72D" w:rsidR="00C7607B" w:rsidRDefault="00974AFF" w:rsidP="00077DC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7DCE"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副总经理兼董事会秘书张健、证券事务代表董雄才</w:t>
            </w:r>
          </w:p>
        </w:tc>
      </w:tr>
      <w:tr w:rsidR="00C7607B" w14:paraId="64525DF2" w14:textId="77777777" w:rsidTr="00343F92">
        <w:trPr>
          <w:trHeight w:val="5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D63" w14:textId="0D082329" w:rsidR="00C7607B" w:rsidRPr="00343F92" w:rsidRDefault="009631B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343F92"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52F" w14:textId="6F5BFB59" w:rsidR="00DB1E81" w:rsidRDefault="00C85F70" w:rsidP="00DB1E81">
            <w:pPr>
              <w:pStyle w:val="a6"/>
              <w:ind w:firstLineChars="0" w:firstLine="0"/>
              <w:rPr>
                <w:rFonts w:cs="Arial"/>
                <w:b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hd w:val="clear" w:color="auto" w:fill="FFFFFF"/>
              </w:rPr>
              <w:t>1</w:t>
            </w:r>
            <w:r>
              <w:rPr>
                <w:rFonts w:cs="Arial" w:hint="eastAsia"/>
                <w:b/>
                <w:color w:val="333333"/>
                <w:shd w:val="clear" w:color="auto" w:fill="FFFFFF"/>
              </w:rPr>
              <w:t>、</w:t>
            </w:r>
            <w:r w:rsidR="00C7106C">
              <w:rPr>
                <w:rFonts w:cs="Arial" w:hint="eastAsia"/>
                <w:b/>
                <w:color w:val="333333"/>
                <w:shd w:val="clear" w:color="auto" w:fill="FFFFFF"/>
              </w:rPr>
              <w:t>目前光伏发电全面平价上网，即度电无补贴的情况下，公司的度电收益大概是什么水平？</w:t>
            </w:r>
          </w:p>
          <w:p w14:paraId="36C670EE" w14:textId="426177B0" w:rsidR="00C7106C" w:rsidRPr="00C7106C" w:rsidRDefault="00C7106C" w:rsidP="00DB1E81">
            <w:pPr>
              <w:pStyle w:val="a6"/>
              <w:ind w:firstLineChars="0" w:firstLine="0"/>
              <w:rPr>
                <w:bCs/>
                <w:iCs/>
                <w:color w:val="000000" w:themeColor="text1"/>
              </w:rPr>
            </w:pPr>
            <w:r w:rsidRPr="00C7106C">
              <w:rPr>
                <w:rFonts w:cs="Arial" w:hint="eastAsia"/>
                <w:color w:val="333333"/>
                <w:shd w:val="clear" w:color="auto" w:fill="FFFFFF"/>
              </w:rPr>
              <w:t>答：</w:t>
            </w:r>
            <w:r>
              <w:rPr>
                <w:rFonts w:cs="Arial" w:hint="eastAsia"/>
                <w:color w:val="333333"/>
                <w:shd w:val="clear" w:color="auto" w:fill="FFFFFF"/>
              </w:rPr>
              <w:t>当前公司新增的自持分布式光伏电站均为无度电补贴项目，经测算新增项目的度电毛利率约6</w:t>
            </w:r>
            <w:r>
              <w:rPr>
                <w:rFonts w:cs="Arial"/>
                <w:color w:val="333333"/>
                <w:shd w:val="clear" w:color="auto" w:fill="FFFFFF"/>
              </w:rPr>
              <w:t>0</w:t>
            </w:r>
            <w:r>
              <w:rPr>
                <w:rFonts w:cs="Arial" w:hint="eastAsia"/>
                <w:color w:val="333333"/>
                <w:shd w:val="clear" w:color="auto" w:fill="FFFFFF"/>
              </w:rPr>
              <w:t>%，与累计自持分布式光伏电站的</w:t>
            </w:r>
            <w:r w:rsidR="008B323F">
              <w:rPr>
                <w:rFonts w:cs="Arial" w:hint="eastAsia"/>
                <w:color w:val="333333"/>
                <w:shd w:val="clear" w:color="auto" w:fill="FFFFFF"/>
              </w:rPr>
              <w:t>平均度电毛利率基本相当。在无补贴的情况下，光伏发电依然能保持较高的毛利率的原因主要有</w:t>
            </w:r>
            <w:r w:rsidR="002D4CF5">
              <w:rPr>
                <w:rFonts w:cs="Arial" w:hint="eastAsia"/>
                <w:color w:val="333333"/>
                <w:shd w:val="clear" w:color="auto" w:fill="FFFFFF"/>
              </w:rPr>
              <w:t>以下两点：</w:t>
            </w:r>
            <w:r w:rsidR="008B323F">
              <w:rPr>
                <w:rFonts w:cs="Arial" w:hint="eastAsia"/>
                <w:color w:val="333333"/>
                <w:shd w:val="clear" w:color="auto" w:fill="FFFFFF"/>
              </w:rPr>
              <w:t>第一，</w:t>
            </w:r>
            <w:r w:rsidR="002D4CF5" w:rsidRPr="002D4CF5">
              <w:rPr>
                <w:rFonts w:cs="Arial" w:hint="eastAsia"/>
                <w:color w:val="333333"/>
                <w:shd w:val="clear" w:color="auto" w:fill="FFFFFF"/>
              </w:rPr>
              <w:t>光伏产业通过不断创新和技术开发推动行业的发展</w:t>
            </w:r>
            <w:r w:rsidR="002D4CF5">
              <w:rPr>
                <w:rFonts w:cs="Arial" w:hint="eastAsia"/>
                <w:color w:val="333333"/>
                <w:shd w:val="clear" w:color="auto" w:fill="FFFFFF"/>
              </w:rPr>
              <w:t>，</w:t>
            </w:r>
            <w:r w:rsidR="008B323F">
              <w:rPr>
                <w:rFonts w:cs="Arial" w:hint="eastAsia"/>
                <w:color w:val="333333"/>
                <w:shd w:val="clear" w:color="auto" w:fill="FFFFFF"/>
              </w:rPr>
              <w:t>技术进步驱动光伏发电成本的下降，</w:t>
            </w:r>
            <w:r w:rsidR="002D4CF5">
              <w:rPr>
                <w:rFonts w:cs="Arial" w:hint="eastAsia"/>
                <w:color w:val="333333"/>
                <w:shd w:val="clear" w:color="auto" w:fill="FFFFFF"/>
              </w:rPr>
              <w:t>从而</w:t>
            </w:r>
            <w:r w:rsidR="008B323F">
              <w:rPr>
                <w:rFonts w:cs="Arial" w:hint="eastAsia"/>
                <w:color w:val="333333"/>
                <w:shd w:val="clear" w:color="auto" w:fill="FFFFFF"/>
              </w:rPr>
              <w:t>有效</w:t>
            </w:r>
            <w:r w:rsidR="002D4CF5">
              <w:rPr>
                <w:rFonts w:cs="Arial" w:hint="eastAsia"/>
                <w:color w:val="333333"/>
                <w:shd w:val="clear" w:color="auto" w:fill="FFFFFF"/>
              </w:rPr>
              <w:t>摆脱对光伏发电补贴的依赖</w:t>
            </w:r>
            <w:r w:rsidR="008B323F">
              <w:rPr>
                <w:rFonts w:cs="Arial" w:hint="eastAsia"/>
                <w:color w:val="333333"/>
                <w:shd w:val="clear" w:color="auto" w:fill="FFFFFF"/>
              </w:rPr>
              <w:t>，成本的下降是光伏发电能够实现</w:t>
            </w:r>
            <w:r w:rsidR="002D4CF5">
              <w:rPr>
                <w:rFonts w:cs="Arial" w:hint="eastAsia"/>
                <w:color w:val="333333"/>
                <w:shd w:val="clear" w:color="auto" w:fill="FFFFFF"/>
              </w:rPr>
              <w:t>不依赖</w:t>
            </w:r>
            <w:r w:rsidR="008B323F">
              <w:rPr>
                <w:rFonts w:cs="Arial" w:hint="eastAsia"/>
                <w:color w:val="333333"/>
                <w:shd w:val="clear" w:color="auto" w:fill="FFFFFF"/>
              </w:rPr>
              <w:t>补贴</w:t>
            </w:r>
            <w:r w:rsidR="002D4CF5">
              <w:rPr>
                <w:rFonts w:cs="Arial" w:hint="eastAsia"/>
                <w:color w:val="333333"/>
                <w:shd w:val="clear" w:color="auto" w:fill="FFFFFF"/>
              </w:rPr>
              <w:t>走向</w:t>
            </w:r>
            <w:r w:rsidR="008B323F">
              <w:rPr>
                <w:rFonts w:cs="Arial" w:hint="eastAsia"/>
                <w:color w:val="333333"/>
                <w:shd w:val="clear" w:color="auto" w:fill="FFFFFF"/>
              </w:rPr>
              <w:t>市场化的重要原因。</w:t>
            </w:r>
            <w:r w:rsidR="00156789">
              <w:rPr>
                <w:rFonts w:cs="Arial" w:hint="eastAsia"/>
                <w:color w:val="333333"/>
                <w:shd w:val="clear" w:color="auto" w:fill="FFFFFF"/>
              </w:rPr>
              <w:t>第二，公司自己拥有专业的运维团队和配套智能化的运维设备，突出的电站运维能力能</w:t>
            </w:r>
            <w:r w:rsidR="001204A8">
              <w:rPr>
                <w:rFonts w:cs="Arial" w:hint="eastAsia"/>
                <w:color w:val="333333"/>
                <w:shd w:val="clear" w:color="auto" w:fill="FFFFFF"/>
              </w:rPr>
              <w:t>够</w:t>
            </w:r>
            <w:r w:rsidR="00156789">
              <w:rPr>
                <w:rFonts w:cs="Arial" w:hint="eastAsia"/>
                <w:color w:val="333333"/>
                <w:shd w:val="clear" w:color="auto" w:fill="FFFFFF"/>
              </w:rPr>
              <w:t>提高电站的发电效率和</w:t>
            </w:r>
            <w:r w:rsidR="00156789">
              <w:rPr>
                <w:rFonts w:cs="Arial" w:hint="eastAsia"/>
                <w:color w:val="333333"/>
                <w:shd w:val="clear" w:color="auto" w:fill="FFFFFF"/>
              </w:rPr>
              <w:lastRenderedPageBreak/>
              <w:t>延长发电寿命，使得自持电站的毛利率依然能维持在较高水平。</w:t>
            </w:r>
          </w:p>
          <w:p w14:paraId="373F5BF3" w14:textId="384C734E" w:rsidR="00156789" w:rsidRDefault="00BF73BE" w:rsidP="00DB1E81">
            <w:pPr>
              <w:spacing w:line="360" w:lineRule="auto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>2</w:t>
            </w:r>
            <w:r w:rsidR="00DB1E81" w:rsidRPr="007E1A70"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>.</w:t>
            </w:r>
            <w:r w:rsidR="00156789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工商业分布式光伏相较于其他类型的光伏电站</w:t>
            </w:r>
            <w:r w:rsidR="00382C02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，电站建设</w:t>
            </w:r>
            <w:r w:rsidR="007D3418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、运维</w:t>
            </w:r>
            <w:r w:rsidR="00382C02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上难度是不是更大？</w:t>
            </w:r>
          </w:p>
          <w:p w14:paraId="7A275886" w14:textId="55E4783C" w:rsidR="007D3418" w:rsidRDefault="00156789" w:rsidP="00DB1E81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答：</w:t>
            </w:r>
            <w:r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 xml:space="preserve"> </w:t>
            </w:r>
            <w:r w:rsidR="00382C02" w:rsidRPr="00382C02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公司的自持电站为“自发自用，余电上网”的工商业</w:t>
            </w:r>
            <w:r w:rsidR="00D43C1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屋顶</w:t>
            </w:r>
            <w:r w:rsidR="00382C02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分布式</w:t>
            </w:r>
            <w:r w:rsidR="00382C02" w:rsidRPr="00382C02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光伏电站</w:t>
            </w:r>
            <w:r w:rsidR="005105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  <w:r w:rsidR="002345E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在建设电站方面，由于</w:t>
            </w:r>
            <w:r w:rsidR="00382C02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工商业屋顶资源的特点是</w:t>
            </w:r>
            <w:r w:rsidR="00D8356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小而</w:t>
            </w:r>
            <w:r w:rsidR="00382C02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分散，需要根据不同的屋顶资源</w:t>
            </w:r>
            <w:r w:rsidR="00926A8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应用</w:t>
            </w:r>
            <w:r w:rsidR="00382C02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场景定制高度个性化的</w:t>
            </w:r>
            <w:r w:rsidR="00926A8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解决方案</w:t>
            </w:r>
            <w:r w:rsidR="00382C02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，属于非标产品</w:t>
            </w:r>
            <w:r w:rsidR="002345E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7D341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故电站在</w:t>
            </w:r>
            <w:r w:rsidR="002345E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设计、施工建设、并网等方面需要更加专业</w:t>
            </w:r>
            <w:r w:rsidR="007D341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  <w:r w:rsidR="005105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在电站建成的后续运维方面</w:t>
            </w:r>
            <w:r w:rsidR="007D341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，因为服务的对象是众多工商企业，各个电站分布零散，</w:t>
            </w:r>
            <w:r w:rsidR="00D8356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各地的气候、环境</w:t>
            </w:r>
            <w:r w:rsidR="001204A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、情况</w:t>
            </w:r>
            <w:r w:rsidR="007D341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各异，需要配置足够专业的运维人员和设备</w:t>
            </w:r>
            <w:r w:rsidR="001E6D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，提供优质的运维服务才能</w:t>
            </w:r>
            <w:r w:rsidR="007D341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降低电站</w:t>
            </w:r>
            <w:r w:rsidR="00EC64B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="007D341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故障率，</w:t>
            </w:r>
            <w:r w:rsidR="001204A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提高发电效率和发电寿命，不断提升</w:t>
            </w:r>
            <w:r w:rsidR="007D341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客户体验感和满意度</w:t>
            </w:r>
            <w:r w:rsidR="001E6D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  <w:r w:rsidR="007D341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故</w:t>
            </w:r>
            <w:r w:rsidR="005105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相对而言“自发自用、余电上网”分布式电站较其他类型的光伏电站</w:t>
            </w:r>
            <w:r w:rsidR="00510515" w:rsidRPr="005105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的运维难度</w:t>
            </w:r>
            <w:r w:rsidR="005105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的确更大，且运维能力的强弱往往决定了公司是否能够</w:t>
            </w:r>
            <w:r w:rsidR="001946F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形成</w:t>
            </w:r>
            <w:r w:rsidR="005105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竞争优势</w:t>
            </w:r>
            <w:r w:rsidR="001946F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，而</w:t>
            </w:r>
            <w:r w:rsidR="00510515" w:rsidRPr="005105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突出的电站运维能力是公司的核心竞争力之一。</w:t>
            </w:r>
          </w:p>
          <w:p w14:paraId="78017D37" w14:textId="113C98DE" w:rsidR="006F0021" w:rsidRDefault="001E6D93" w:rsidP="006F0021">
            <w:pPr>
              <w:pStyle w:val="a6"/>
              <w:ind w:firstLineChars="0" w:firstLine="0"/>
              <w:rPr>
                <w:b/>
                <w:bCs/>
                <w:iCs/>
                <w:color w:val="000000" w:themeColor="text1"/>
              </w:rPr>
            </w:pPr>
            <w:r>
              <w:rPr>
                <w:rFonts w:cs="Arial"/>
                <w:b/>
                <w:color w:val="333333"/>
                <w:shd w:val="clear" w:color="auto" w:fill="FFFFFF"/>
              </w:rPr>
              <w:t>3</w:t>
            </w:r>
            <w:r w:rsidR="006F0021">
              <w:rPr>
                <w:rFonts w:cs="Arial" w:hint="eastAsia"/>
                <w:b/>
                <w:color w:val="333333"/>
                <w:shd w:val="clear" w:color="auto" w:fill="FFFFFF"/>
              </w:rPr>
              <w:t>、</w:t>
            </w:r>
            <w:r w:rsidR="006F0021" w:rsidRPr="0010301B">
              <w:rPr>
                <w:rFonts w:hint="eastAsia"/>
                <w:b/>
                <w:bCs/>
                <w:iCs/>
                <w:color w:val="000000" w:themeColor="text1"/>
              </w:rPr>
              <w:t>最近的“分时电价”的通知，</w:t>
            </w:r>
            <w:r w:rsidR="006F0021">
              <w:rPr>
                <w:rFonts w:hint="eastAsia"/>
                <w:b/>
                <w:bCs/>
                <w:iCs/>
                <w:color w:val="000000" w:themeColor="text1"/>
              </w:rPr>
              <w:t>如若执行</w:t>
            </w:r>
            <w:r w:rsidR="006F0021" w:rsidRPr="0010301B">
              <w:rPr>
                <w:rFonts w:hint="eastAsia"/>
                <w:b/>
                <w:bCs/>
                <w:iCs/>
                <w:color w:val="000000" w:themeColor="text1"/>
              </w:rPr>
              <w:t>对</w:t>
            </w:r>
            <w:r w:rsidR="006F0021">
              <w:rPr>
                <w:rFonts w:hint="eastAsia"/>
                <w:b/>
                <w:bCs/>
                <w:iCs/>
                <w:color w:val="000000" w:themeColor="text1"/>
              </w:rPr>
              <w:t>公司业务将</w:t>
            </w:r>
            <w:r w:rsidR="006F0021" w:rsidRPr="0010301B">
              <w:rPr>
                <w:rFonts w:hint="eastAsia"/>
                <w:b/>
                <w:bCs/>
                <w:iCs/>
                <w:color w:val="000000" w:themeColor="text1"/>
              </w:rPr>
              <w:t>带来什么影响？</w:t>
            </w:r>
          </w:p>
          <w:p w14:paraId="52FF09D3" w14:textId="77777777" w:rsidR="006F0021" w:rsidRDefault="006F0021" w:rsidP="006F0021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6F002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若执行意味着峰谷价差将扩大，用电业主的平均用电价格大概率是上涨的。对公司业务可能会带来以下几个方面的影响：</w:t>
            </w:r>
          </w:p>
          <w:p w14:paraId="1D28C0A4" w14:textId="77777777" w:rsidR="006F0021" w:rsidRDefault="006F0021" w:rsidP="006F0021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第一，平均用电价格的上涨，用电业主考虑到平均用电成本增加，将刺激其安装光伏电站的意愿，闲置的屋顶资源将进一步释放，“自发自用，余电上网”的分布式光伏市场空间将进一步打开。</w:t>
            </w:r>
          </w:p>
          <w:p w14:paraId="1E39634E" w14:textId="3F731704" w:rsidR="006F0021" w:rsidRPr="006F0021" w:rsidRDefault="006F0021" w:rsidP="005A7BE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第二，公司的自持电站在跟用电业主结算电费时，不是约定一个固定的度电价，而是</w:t>
            </w:r>
            <w:r w:rsidRPr="009E5A0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参照资源所在地工商业用电价格给予一定</w:t>
            </w:r>
            <w:r w:rsidRPr="009E5A05">
              <w:rPr>
                <w:rFonts w:ascii="宋体" w:hAnsi="宋体"/>
                <w:bCs/>
                <w:iCs/>
                <w:color w:val="000000" w:themeColor="text1"/>
                <w:sz w:val="24"/>
              </w:rPr>
              <w:t>折扣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，该方式既能给予客户电价优惠，又能使公司售电价格更具弹性。随着工商业用电峰谷价差的扩大，</w:t>
            </w:r>
            <w:r w:rsidRPr="00DB1E8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平均用电价</w:t>
            </w:r>
            <w:r w:rsidRPr="00DB1E8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lastRenderedPageBreak/>
              <w:t>格上涨，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公司的综合度电收入将提高，从而增加发电收益。</w:t>
            </w:r>
          </w:p>
          <w:p w14:paraId="16653B0F" w14:textId="291AE992" w:rsidR="002D641E" w:rsidRPr="002D641E" w:rsidRDefault="002D641E" w:rsidP="002D641E">
            <w:pPr>
              <w:spacing w:line="360" w:lineRule="auto"/>
              <w:rPr>
                <w:rFonts w:ascii="宋体" w:cs="Arial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 w:rsidRPr="002D641E">
              <w:rPr>
                <w:rFonts w:ascii="宋体" w:cs="Arial"/>
                <w:b/>
                <w:bCs/>
                <w:color w:val="000000" w:themeColor="text1"/>
                <w:sz w:val="24"/>
                <w:shd w:val="clear" w:color="auto" w:fill="FFFFFF"/>
              </w:rPr>
              <w:t>4</w:t>
            </w:r>
            <w:r w:rsidRPr="002D641E">
              <w:rPr>
                <w:rFonts w:ascii="宋体" w:cs="Arial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、目前分布式光伏已实现全面平价上网，浙江省现在平价上网的度电价格是多少？</w:t>
            </w:r>
          </w:p>
          <w:p w14:paraId="4AC8F314" w14:textId="07BE6B09" w:rsidR="002D641E" w:rsidRDefault="002D641E" w:rsidP="002D641E">
            <w:pPr>
              <w:spacing w:line="360" w:lineRule="auto"/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</w:pPr>
            <w:r w:rsidRPr="002D641E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答：平价上网的度电价格参照浙江省脱硫煤标杆电价，即每度约0.41元（含税）。</w:t>
            </w:r>
          </w:p>
          <w:p w14:paraId="2F1CEA8C" w14:textId="2FD325F6" w:rsidR="002D641E" w:rsidRPr="002D641E" w:rsidRDefault="002D641E" w:rsidP="002D641E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5</w:t>
            </w:r>
            <w:r w:rsidRPr="00930570"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、公司未来受到竞价上网的影响大吗？</w:t>
            </w:r>
            <w:r w:rsidRPr="00930570">
              <w:rPr>
                <w:rFonts w:ascii="宋体" w:hAnsi="宋体"/>
                <w:sz w:val="22"/>
              </w:rPr>
              <w:t xml:space="preserve"> </w:t>
            </w:r>
          </w:p>
          <w:p w14:paraId="2983578A" w14:textId="0BAC3B07" w:rsidR="006E6137" w:rsidRPr="00930570" w:rsidRDefault="008221E5" w:rsidP="00DC6C6E">
            <w:pPr>
              <w:spacing w:line="360" w:lineRule="auto"/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</w:pPr>
            <w:r w:rsidRPr="00930570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答：</w:t>
            </w:r>
            <w:r w:rsidR="00930570"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2C786D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公司受到竞价上网的</w:t>
            </w:r>
            <w:r w:rsidR="006E6137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影响</w:t>
            </w:r>
            <w:r w:rsidR="00D56C93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有限</w:t>
            </w:r>
            <w:r w:rsidR="006E6137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。不同于其他</w:t>
            </w:r>
            <w:r w:rsidR="00077DCE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“</w:t>
            </w:r>
            <w:r w:rsidR="006E6137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全额上网</w:t>
            </w:r>
            <w:r w:rsidR="00077DCE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”</w:t>
            </w:r>
            <w:r w:rsidR="006E6137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的光伏电站</w:t>
            </w:r>
            <w:r w:rsidR="002C786D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，公司的自持电站绝大部分为</w:t>
            </w:r>
            <w:r w:rsidR="006E6137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“自发自用，余电上网”的工商业分布式光伏电站，所发电量是优先供给企业使用，若有余电，余电部分再上网</w:t>
            </w:r>
            <w:r w:rsidR="00DB264C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，</w:t>
            </w:r>
            <w:r w:rsidR="006E613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公司自持电站的自发自用比例</w:t>
            </w:r>
            <w:r w:rsidR="00417D3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为</w:t>
            </w:r>
            <w:r w:rsidR="006E613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7</w:t>
            </w:r>
            <w:r w:rsidR="006E6137">
              <w:rPr>
                <w:rFonts w:ascii="宋体" w:hAnsi="宋体"/>
                <w:bCs/>
                <w:iCs/>
                <w:color w:val="000000" w:themeColor="text1"/>
                <w:sz w:val="24"/>
              </w:rPr>
              <w:t>5</w:t>
            </w:r>
            <w:r w:rsidR="006E613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%左右</w:t>
            </w:r>
            <w:r w:rsidR="00DB264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，主要的电费收入和收益还是来源于企业的用电部分。故即便竞价上网会带来一定的价格竞争，</w:t>
            </w:r>
            <w:r w:rsidR="00770F2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但</w:t>
            </w:r>
            <w:r w:rsidR="002C786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对公司发电业务整体</w:t>
            </w:r>
            <w:r w:rsidR="00DB264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收</w:t>
            </w:r>
            <w:r w:rsidR="00770F2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入和收</w:t>
            </w:r>
            <w:r w:rsidR="00DB264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益影响</w:t>
            </w:r>
            <w:r w:rsidR="00D56C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有限</w:t>
            </w:r>
            <w:r w:rsidR="00DB264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</w:p>
          <w:p w14:paraId="7B2C8386" w14:textId="676FEA89" w:rsidR="00932EA4" w:rsidRDefault="002D641E" w:rsidP="00DC6C6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6</w:t>
            </w:r>
            <w:r w:rsidR="00932EA4">
              <w:rPr>
                <w:rFonts w:ascii="宋体" w:hAnsi="宋体" w:hint="eastAsia"/>
                <w:b/>
                <w:iCs/>
                <w:color w:val="000000"/>
                <w:sz w:val="24"/>
              </w:rPr>
              <w:t>、</w:t>
            </w:r>
            <w:r w:rsidR="002C786D">
              <w:rPr>
                <w:rFonts w:ascii="宋体" w:hAnsi="宋体" w:hint="eastAsia"/>
                <w:b/>
                <w:iCs/>
                <w:color w:val="000000"/>
                <w:sz w:val="24"/>
              </w:rPr>
              <w:t>公司电站的运维费用是否计入管理费用，后续随着自持电站规模的继续扩大</w:t>
            </w:r>
            <w:r w:rsidR="006F0021">
              <w:rPr>
                <w:rFonts w:ascii="宋体" w:hAnsi="宋体" w:hint="eastAsia"/>
                <w:b/>
                <w:iCs/>
                <w:color w:val="000000"/>
                <w:sz w:val="24"/>
              </w:rPr>
              <w:t>，运维费用是否同比线性增长</w:t>
            </w:r>
            <w:r w:rsidR="002C786D">
              <w:rPr>
                <w:rFonts w:ascii="宋体" w:hAnsi="宋体" w:hint="eastAsia"/>
                <w:b/>
                <w:iCs/>
                <w:color w:val="000000"/>
                <w:sz w:val="24"/>
              </w:rPr>
              <w:t>？</w:t>
            </w:r>
          </w:p>
          <w:p w14:paraId="4F33518D" w14:textId="240FF28A" w:rsidR="00D56C93" w:rsidRDefault="00932EA4" w:rsidP="00DC6C6E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858C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答：</w:t>
            </w:r>
            <w:r w:rsidR="002C786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公司的电站运维费用计入营业成本中，</w:t>
            </w:r>
            <w:r w:rsidR="006F002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不计入管理费用。</w:t>
            </w:r>
            <w:r w:rsidR="00D56C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电站运维业务也是一项具有规模效益的业务，</w:t>
            </w:r>
            <w:r w:rsidR="00D56C93" w:rsidRPr="00D56C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电站建成后需要组建专业的运维团队进行日常维护检修，</w:t>
            </w:r>
            <w:r w:rsidR="007A1727" w:rsidRP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公司设立了专门的电站运维部，组建了专业维护检修团队，购置了分布式电站监控平台，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可实现对各光伏电站发电情况进行</w:t>
            </w:r>
            <w:r w:rsidR="007A1727" w:rsidRP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全天候的实时智能化监测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</w:t>
            </w:r>
            <w:r w:rsidR="007A1727" w:rsidRP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故障的及时发现、定位并排除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以及大数据优化分析能力</w:t>
            </w:r>
            <w:r w:rsidR="00C02F8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同时</w:t>
            </w:r>
            <w:r w:rsidR="007A1727" w:rsidRP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通过可视化监控及自动清洗机器人等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使</w:t>
            </w:r>
            <w:r w:rsidR="007A1727" w:rsidRP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运维效率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进一步提升</w:t>
            </w:r>
            <w:r w:rsidR="007A1727" w:rsidRP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以上</w:t>
            </w:r>
            <w:r w:rsidR="007A1727" w:rsidRP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智能化装备和技术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的运用</w:t>
            </w:r>
            <w:r w:rsidR="00D56C93" w:rsidRPr="00D56C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使运维效率得到大大提高，运维团队</w:t>
            </w:r>
            <w:r w:rsidR="00C02F8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="00D56C93" w:rsidRPr="00D56C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人员规模</w:t>
            </w:r>
            <w:r w:rsidR="00C02F8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等</w:t>
            </w:r>
            <w:r w:rsidR="007A1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将</w:t>
            </w:r>
            <w:r w:rsidR="00D56C93" w:rsidRPr="00D56C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不与电站规模同比例增加，随着电站规模的持续扩大，电站运维的边际成本逐渐降低。</w:t>
            </w:r>
          </w:p>
          <w:p w14:paraId="759A47AC" w14:textId="5B1F5D3E" w:rsidR="008221E5" w:rsidRPr="00E60838" w:rsidRDefault="002D641E" w:rsidP="00DC6C6E">
            <w:pPr>
              <w:spacing w:line="360" w:lineRule="auto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7</w:t>
            </w:r>
            <w:r w:rsidR="009631BE" w:rsidRPr="008221E5">
              <w:rPr>
                <w:rFonts w:ascii="宋体" w:hAnsi="宋体" w:hint="eastAsia"/>
                <w:b/>
                <w:iCs/>
                <w:color w:val="000000"/>
                <w:sz w:val="24"/>
              </w:rPr>
              <w:t>、</w:t>
            </w:r>
            <w:r w:rsidR="008D7523">
              <w:rPr>
                <w:rFonts w:ascii="宋体" w:hAnsi="宋体" w:hint="eastAsia"/>
                <w:b/>
                <w:iCs/>
                <w:color w:val="000000"/>
                <w:sz w:val="24"/>
              </w:rPr>
              <w:t>公司充电桩的优势主要在什么方面？</w:t>
            </w:r>
            <w:r w:rsidR="00E60838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如何保证充电桩的盈利能力？</w:t>
            </w:r>
          </w:p>
          <w:p w14:paraId="2F8F0B9A" w14:textId="7B4C594E" w:rsidR="001204A8" w:rsidRDefault="009631BE" w:rsidP="008D7523">
            <w:pPr>
              <w:spacing w:line="360" w:lineRule="auto"/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</w:pPr>
            <w:r w:rsidRPr="00B858C8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答：</w:t>
            </w:r>
            <w:r w:rsidR="001506CC" w:rsidRPr="001506CC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主要在两个方面具有较强优势。第一，公司在分布式领域已先后为近千家企业提供服务，优质的服务使公司获得了客户</w:t>
            </w:r>
            <w:r w:rsidR="001506CC" w:rsidRPr="001506CC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lastRenderedPageBreak/>
              <w:t>的充分认可和信任，形成了较强的客户黏性，充电桩业务能够依托现有分布式客户资源进行拓展，有效降低资源的获取成本。第二，公司在充电桩建设过程中，可以利用分布式光伏相关电力设施的冗余资源，降低充电桩的投资成本，形成较强的</w:t>
            </w:r>
            <w:r w:rsidR="001506CC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成本优势</w:t>
            </w:r>
            <w:r w:rsidR="001204A8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。</w:t>
            </w:r>
          </w:p>
          <w:p w14:paraId="4AB70DEE" w14:textId="31D77BCE" w:rsidR="008221E5" w:rsidRPr="00B858C8" w:rsidRDefault="00E60838" w:rsidP="001204A8">
            <w:pPr>
              <w:spacing w:line="360" w:lineRule="auto"/>
              <w:ind w:firstLineChars="200" w:firstLine="480"/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公司通过车流量、近点充电桩充电情况等大数据测算，预估平均有效充电小时数，</w:t>
            </w:r>
            <w:r w:rsidRPr="00497C6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保证</w:t>
            </w:r>
            <w:r w:rsidRPr="00497C6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投资回报率的基础上，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稳步</w:t>
            </w:r>
            <w:r w:rsidRPr="00497C6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增加充电桩数量，扩大充电桩覆盖</w:t>
            </w:r>
            <w:r w:rsidR="005A7BE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范围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。充电桩业务每年的固定成本主要为折旧、运维、场地租金费用，随着新能源汽车充电需求的增加，平均有效充电小时数也将提高，这将为充电桩业务带来更高的边际贡献，增强充电桩的盈利能力。</w:t>
            </w:r>
          </w:p>
          <w:p w14:paraId="1EE8D22F" w14:textId="53D4E2CA" w:rsidR="008221E5" w:rsidRPr="008221E5" w:rsidRDefault="002D641E" w:rsidP="00DC6C6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8</w:t>
            </w:r>
            <w:r w:rsidR="008221E5" w:rsidRPr="008221E5">
              <w:rPr>
                <w:rFonts w:ascii="宋体" w:hAnsi="宋体" w:hint="eastAsia"/>
                <w:b/>
                <w:iCs/>
                <w:color w:val="000000"/>
                <w:sz w:val="24"/>
              </w:rPr>
              <w:t>、</w:t>
            </w:r>
            <w:r w:rsidR="005D40D7">
              <w:rPr>
                <w:rFonts w:ascii="宋体" w:hAnsi="宋体" w:hint="eastAsia"/>
                <w:b/>
                <w:iCs/>
                <w:color w:val="000000"/>
                <w:sz w:val="24"/>
              </w:rPr>
              <w:t>近年来公司开发及服务业务收入和占比下降，发电收入和占比持续提高，营业净利率也有明显提升，这一变化的主要原因是什么？</w:t>
            </w:r>
          </w:p>
          <w:p w14:paraId="1211528D" w14:textId="77777777" w:rsidR="007A1727" w:rsidRPr="007A1727" w:rsidRDefault="008221E5" w:rsidP="007A1727">
            <w:pPr>
              <w:spacing w:line="360" w:lineRule="auto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8221E5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7A1727" w:rsidRPr="007A1727">
              <w:rPr>
                <w:rFonts w:ascii="宋体" w:hAnsi="宋体" w:hint="eastAsia"/>
                <w:bCs/>
                <w:iCs/>
                <w:color w:val="000000"/>
                <w:sz w:val="24"/>
              </w:rPr>
              <w:t>以上变化是公司近年来坚定贯彻“持续优化业务结构，聚焦自持电站建设”业务发展战略的结果。高毛利率的自持电站业务规模和发电收入占比持续增加，盈利能力不断增强。</w:t>
            </w:r>
          </w:p>
          <w:p w14:paraId="5E837DC1" w14:textId="60D55650" w:rsidR="00AA30B2" w:rsidRPr="001204A8" w:rsidRDefault="007A1727" w:rsidP="007A172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A1727">
              <w:rPr>
                <w:rFonts w:ascii="宋体" w:hAnsi="宋体" w:hint="eastAsia"/>
                <w:bCs/>
                <w:iCs/>
                <w:color w:val="000000"/>
                <w:sz w:val="24"/>
              </w:rPr>
              <w:t>开发及服务业务与自持电站业务有明显不同，前者是客户投资，公司开发建成电站后交付，实现当期一次性收入，公司不享有电站的所有权 。而自持电站是自己投资自己运营，该业务毛利率高，且能够享受电站长达</w:t>
            </w:r>
            <w:r w:rsidR="00F17A67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 w:rsidRPr="007A1727">
              <w:rPr>
                <w:rFonts w:ascii="宋体" w:hAnsi="宋体" w:hint="eastAsia"/>
                <w:bCs/>
                <w:iCs/>
                <w:color w:val="000000"/>
                <w:sz w:val="24"/>
              </w:rPr>
              <w:t>年的发电收益，但需要有较强的资金实力作支撑。公司上市后，融资渠道进一步打开，加上前期自持电站滚存的利润，资金实力进一步增强。公司通过持续扩大自持电站规模，实现源源不断、稳定增长的发电收入和现金流，并通过滚存再投资实现电站规模再扩大，形成健康、循环的投资模式 ，有效增强了公司经营的可持续性和成长性。</w:t>
            </w:r>
          </w:p>
          <w:p w14:paraId="43F65450" w14:textId="7D3EDB85" w:rsidR="00012DAA" w:rsidRDefault="002D641E" w:rsidP="00DC6C6E">
            <w:pPr>
              <w:spacing w:line="360" w:lineRule="auto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>9</w:t>
            </w:r>
            <w:r w:rsidR="00077234" w:rsidRPr="000772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、</w:t>
            </w:r>
            <w:r w:rsidR="00A538DC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工商业</w:t>
            </w:r>
            <w:r w:rsidR="00077DCE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储能什么时候才能大规模商用？公司储能业务进展如何？</w:t>
            </w:r>
          </w:p>
          <w:p w14:paraId="2D0FC77B" w14:textId="7158F20A" w:rsidR="00077DCE" w:rsidRDefault="00012DAA" w:rsidP="00DC6C6E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012DA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lastRenderedPageBreak/>
              <w:t>答：</w:t>
            </w:r>
            <w:r w:rsidR="00077DC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目前整个储能行业处在技术和电化学效率革新阶段，储能电池系统的成本还不具备大规模商用的条件，</w:t>
            </w:r>
            <w:r w:rsidR="00A538D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但是随着后续成本的下降，一旦具备盈利条件，工商业配置新型储能设备的意愿将明显提振，储能业务的市场空间十分庞大。</w:t>
            </w:r>
          </w:p>
          <w:p w14:paraId="294124CB" w14:textId="56BDFF46" w:rsidR="008F4CB8" w:rsidRDefault="00077DCE" w:rsidP="008F4CB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077DCE">
              <w:rPr>
                <w:rFonts w:ascii="宋体" w:hAnsi="宋体"/>
                <w:bCs/>
                <w:iCs/>
                <w:color w:val="000000" w:themeColor="text1"/>
                <w:sz w:val="24"/>
              </w:rPr>
              <w:t>公司</w:t>
            </w:r>
            <w:r w:rsidR="00A538D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目前在为相关储能产品的开发</w:t>
            </w:r>
            <w:r w:rsidR="001E6D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和应用</w:t>
            </w:r>
            <w:r w:rsidR="00A538D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进行技术储备，</w:t>
            </w:r>
            <w:r w:rsidRPr="00077DCE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以分布式光伏为基础，在前期“光储充”实验站的 </w:t>
            </w:r>
            <w:r w:rsidR="00A538DC">
              <w:rPr>
                <w:rFonts w:ascii="宋体" w:hAnsi="宋体"/>
                <w:bCs/>
                <w:iCs/>
                <w:color w:val="000000" w:themeColor="text1"/>
                <w:sz w:val="24"/>
              </w:rPr>
              <w:t>基础</w:t>
            </w:r>
            <w:r w:rsidR="00A538D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上，</w:t>
            </w:r>
            <w:r w:rsidR="00A538DC">
              <w:rPr>
                <w:rFonts w:ascii="宋体" w:hAnsi="宋体"/>
                <w:bCs/>
                <w:iCs/>
                <w:color w:val="000000" w:themeColor="text1"/>
                <w:sz w:val="24"/>
              </w:rPr>
              <w:t>准备储能示范项目，该示范项目基于生产</w:t>
            </w:r>
            <w:r w:rsidR="00A538D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</w:t>
            </w:r>
            <w:r w:rsidRPr="00077DCE">
              <w:rPr>
                <w:rFonts w:ascii="宋体" w:hAnsi="宋体"/>
                <w:bCs/>
                <w:iCs/>
                <w:color w:val="000000" w:themeColor="text1"/>
                <w:sz w:val="24"/>
              </w:rPr>
              <w:t>办公园区实施建设，配套分布式光伏电站、储能集装箱、充电桩等设施，储能电池容量达 426KWh，可为园区提供储能、供能、节能等综合能源管理服务，实现光伏发电充分消纳，削峰填谷自动补</w:t>
            </w:r>
            <w:r w:rsidR="00A538DC">
              <w:rPr>
                <w:rFonts w:ascii="宋体" w:hAnsi="宋体"/>
                <w:bCs/>
                <w:iCs/>
                <w:color w:val="000000" w:themeColor="text1"/>
                <w:sz w:val="24"/>
              </w:rPr>
              <w:t>偿供电、用电等功能</w:t>
            </w:r>
            <w:r w:rsidR="00A538D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077DCE">
              <w:rPr>
                <w:rFonts w:ascii="宋体" w:hAnsi="宋体"/>
                <w:bCs/>
                <w:iCs/>
                <w:color w:val="000000" w:themeColor="text1"/>
                <w:sz w:val="24"/>
              </w:rPr>
              <w:t>有效节约企业用能成本，促进降碳减</w:t>
            </w:r>
            <w:r w:rsidR="00A538DC">
              <w:rPr>
                <w:rFonts w:ascii="宋体" w:hAnsi="宋体"/>
                <w:bCs/>
                <w:iCs/>
                <w:color w:val="000000" w:themeColor="text1"/>
                <w:sz w:val="24"/>
              </w:rPr>
              <w:t>排</w:t>
            </w:r>
            <w:r w:rsidR="008F4CB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。公司将继续紧密跟踪行业、技术动态，为后续储能可能实现</w:t>
            </w:r>
            <w:r w:rsidR="001E6D9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="008F4CB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大规模推广，做好充分准备。</w:t>
            </w:r>
          </w:p>
          <w:p w14:paraId="17CCB3C4" w14:textId="71F9E268" w:rsidR="008F4CB8" w:rsidRDefault="002D641E" w:rsidP="008F4CB8">
            <w:pPr>
              <w:spacing w:line="360" w:lineRule="auto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>10</w:t>
            </w:r>
            <w:r w:rsidR="00D56C93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、</w:t>
            </w:r>
            <w:r w:rsidR="008F4CB8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公司在E</w:t>
            </w:r>
            <w:r w:rsidR="008F4CB8"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>PC</w:t>
            </w:r>
            <w:r w:rsidR="00926A8A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业务</w:t>
            </w:r>
            <w:r w:rsidR="008F4CB8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和运维业务上有什么优势？在“整县推进”的背景下，是否会大规模开展E</w:t>
            </w:r>
            <w:r w:rsidR="008F4CB8"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>PC</w:t>
            </w:r>
            <w:r w:rsidR="008F4CB8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和运维业务？</w:t>
            </w:r>
          </w:p>
          <w:p w14:paraId="1AA28344" w14:textId="4A631D4F" w:rsidR="002D641E" w:rsidRDefault="008F4CB8" w:rsidP="008F4CB8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8F4CB8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答：</w:t>
            </w:r>
            <w:r w:rsidR="002D641E" w:rsidRPr="002D641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分布式光伏是利用闲散屋顶资源建设分布式光伏电站，其需要根据不同的应用场景定制高度个性化的解决方案，属于非标产品，案例经验对建成优质电站至关重要。公司是目前国内较早从事分布式光伏开发的企业之一，积累了丰富的经验，</w:t>
            </w:r>
            <w:r w:rsidR="00D575F4" w:rsidRPr="00D575F4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已成功实施了众多项目，</w:t>
            </w:r>
            <w:r w:rsidR="002D641E" w:rsidRPr="002D641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“芯能”品牌已经在行业内形成了较高的知名度</w:t>
            </w:r>
            <w:r w:rsidR="00D575F4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D575F4" w:rsidRPr="00D575F4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公司在分</w:t>
            </w:r>
            <w:r w:rsidR="00D575F4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布式光伏发电投资方、地方电网、屋顶资源业主方面均享有较好的声誉</w:t>
            </w:r>
            <w:r w:rsidR="002D641E" w:rsidRPr="002D641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</w:p>
          <w:p w14:paraId="201D1F11" w14:textId="55B06694" w:rsidR="008F4CB8" w:rsidRDefault="00926A8A" w:rsidP="00D575F4">
            <w:pPr>
              <w:spacing w:line="360" w:lineRule="auto"/>
              <w:ind w:firstLineChars="200" w:firstLine="480"/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在“整县推进”的背景下，许多参与者对分布式光伏稍显陌生，缺乏实施经验和技术优势，</w:t>
            </w:r>
            <w:r w:rsidRPr="00926A8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无法兼顾设计、采购、安装施工、并网、运维等诸多环节，他们需要于与具有高度专业、丰富经验、成熟技术的工程承包商合作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和运维商</w:t>
            </w:r>
            <w:r w:rsidRPr="00926A8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  <w:r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公司在分布式领域已深耕多年，先后为近千家企业提供服务，具备成熟的E</w:t>
            </w:r>
            <w:r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  <w:t>PC</w:t>
            </w:r>
            <w:r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实施经验和运维经验，在业内享有良好</w:t>
            </w:r>
            <w:r w:rsidR="007B401E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的</w:t>
            </w:r>
            <w:r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口碑</w:t>
            </w:r>
            <w:r w:rsidR="007B401E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，形成</w:t>
            </w:r>
            <w:r w:rsidR="00D575F4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自身</w:t>
            </w:r>
            <w:r w:rsidR="007B401E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的竞争优势</w:t>
            </w:r>
            <w:r w:rsidR="00417D3A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。</w:t>
            </w:r>
          </w:p>
          <w:p w14:paraId="208C7E7F" w14:textId="2A5C3E9F" w:rsidR="007B401E" w:rsidRPr="00D575F4" w:rsidRDefault="007B401E" w:rsidP="00D575F4">
            <w:pPr>
              <w:spacing w:line="360" w:lineRule="auto"/>
              <w:ind w:firstLine="480"/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lastRenderedPageBreak/>
              <w:t>公司</w:t>
            </w:r>
            <w:r w:rsidR="00D575F4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未来将</w:t>
            </w:r>
            <w:r w:rsidR="00D575F4" w:rsidRPr="00D575F4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聚焦自持电站建设，推动在手电站项目按计划建设并网，不断开发储备优质屋顶资源</w:t>
            </w:r>
            <w:r w:rsidR="00D10343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，以优秀的运维能力服务好现有客户。在此基础上，</w:t>
            </w:r>
            <w:r w:rsidR="00D575F4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对于不需要公司开发屋顶资源的</w:t>
            </w:r>
            <w:r w:rsidR="00D575F4">
              <w:rPr>
                <w:rFonts w:ascii="宋体" w:cs="Arial"/>
                <w:bCs/>
                <w:color w:val="000000" w:themeColor="text1"/>
                <w:sz w:val="24"/>
                <w:shd w:val="clear" w:color="auto" w:fill="FFFFFF"/>
              </w:rPr>
              <w:t>EPC</w:t>
            </w:r>
            <w:r w:rsidR="00D575F4">
              <w:rPr>
                <w:rFonts w:ascii="宋体" w:cs="Arial" w:hint="eastAsia"/>
                <w:bCs/>
                <w:color w:val="000000" w:themeColor="text1"/>
                <w:sz w:val="24"/>
                <w:shd w:val="clear" w:color="auto" w:fill="FFFFFF"/>
              </w:rPr>
              <w:t>和运维业务，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在保证项目收益率的基础上</w:t>
            </w:r>
            <w:r w:rsidR="002D4CF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积极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开展业务。</w:t>
            </w:r>
          </w:p>
          <w:p w14:paraId="49A69EA4" w14:textId="48CDB328" w:rsidR="001E6D93" w:rsidRDefault="001E6D93" w:rsidP="001E6D93">
            <w:pPr>
              <w:spacing w:line="360" w:lineRule="auto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>1</w:t>
            </w:r>
            <w:r w:rsidR="002D641E"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  <w:t>1</w:t>
            </w:r>
            <w:r w:rsidR="00D56C93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最近公司市值有明显的提升，如何看待？</w:t>
            </w:r>
          </w:p>
          <w:p w14:paraId="089C0401" w14:textId="308DFCD9" w:rsidR="00974AFF" w:rsidRPr="007B401E" w:rsidRDefault="001E6D93" w:rsidP="001E6D93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D56220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答：</w:t>
            </w:r>
            <w:r w:rsidR="004B19FF" w:rsidRPr="004B19F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将继续踏实、认真地做好主业，在以下三个方面持续推进业务进展：第一，在“发电”方面，继续扩大自持分布式光伏电站规模，夯实业绩安全垫。第二，在“用电”方面，依托现有分布式光伏客户资源稳步推进充电桩业务。第三，在“储电”方面，为相关储能产品的开发和工商业储能的应用做好技术储备。以</w:t>
            </w:r>
            <w:r w:rsidR="004B19F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期以</w:t>
            </w:r>
            <w:bookmarkStart w:id="0" w:name="_GoBack"/>
            <w:bookmarkEnd w:id="0"/>
            <w:r w:rsidR="004B19FF" w:rsidRPr="004B19F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优异的业绩提升公司价值，更好地回报投资者。</w:t>
            </w:r>
          </w:p>
        </w:tc>
      </w:tr>
    </w:tbl>
    <w:p w14:paraId="5F602382" w14:textId="77777777" w:rsidR="00C7607B" w:rsidRDefault="009631BE">
      <w:r>
        <w:rPr>
          <w:rFonts w:ascii="宋体" w:hAnsi="宋体" w:hint="eastAsia"/>
          <w:bCs/>
          <w:iCs/>
          <w:color w:val="000000"/>
          <w:sz w:val="24"/>
        </w:rPr>
        <w:lastRenderedPageBreak/>
        <w:t>（以下无正文）</w:t>
      </w:r>
    </w:p>
    <w:sectPr w:rsidR="00C760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787A" w14:textId="77777777" w:rsidR="00116455" w:rsidRDefault="00116455" w:rsidP="00D72DCB">
      <w:r>
        <w:separator/>
      </w:r>
    </w:p>
  </w:endnote>
  <w:endnote w:type="continuationSeparator" w:id="0">
    <w:p w14:paraId="245C6D9D" w14:textId="77777777" w:rsidR="00116455" w:rsidRDefault="00116455" w:rsidP="00D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E83D" w14:textId="77777777" w:rsidR="00116455" w:rsidRDefault="00116455" w:rsidP="00D72DCB">
      <w:r>
        <w:separator/>
      </w:r>
    </w:p>
  </w:footnote>
  <w:footnote w:type="continuationSeparator" w:id="0">
    <w:p w14:paraId="179C6D5E" w14:textId="77777777" w:rsidR="00116455" w:rsidRDefault="00116455" w:rsidP="00D7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A3B"/>
    <w:multiLevelType w:val="hybridMultilevel"/>
    <w:tmpl w:val="350A2DDA"/>
    <w:lvl w:ilvl="0" w:tplc="CF92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DAA"/>
    <w:rsid w:val="000439C6"/>
    <w:rsid w:val="00060D43"/>
    <w:rsid w:val="00070ED2"/>
    <w:rsid w:val="00077234"/>
    <w:rsid w:val="00077DCE"/>
    <w:rsid w:val="000801A9"/>
    <w:rsid w:val="00080C51"/>
    <w:rsid w:val="000C7D52"/>
    <w:rsid w:val="000D35C5"/>
    <w:rsid w:val="000D6CC4"/>
    <w:rsid w:val="000D6DF7"/>
    <w:rsid w:val="000E27E4"/>
    <w:rsid w:val="000F3997"/>
    <w:rsid w:val="000F3D96"/>
    <w:rsid w:val="00116455"/>
    <w:rsid w:val="001204A8"/>
    <w:rsid w:val="001377AD"/>
    <w:rsid w:val="00141C89"/>
    <w:rsid w:val="001506CC"/>
    <w:rsid w:val="00156789"/>
    <w:rsid w:val="00167738"/>
    <w:rsid w:val="00172A27"/>
    <w:rsid w:val="001946F6"/>
    <w:rsid w:val="001A592A"/>
    <w:rsid w:val="001B197F"/>
    <w:rsid w:val="001C6AAF"/>
    <w:rsid w:val="001E6D93"/>
    <w:rsid w:val="00210657"/>
    <w:rsid w:val="002260CE"/>
    <w:rsid w:val="00226E26"/>
    <w:rsid w:val="00227618"/>
    <w:rsid w:val="002345E6"/>
    <w:rsid w:val="002449FA"/>
    <w:rsid w:val="002C786D"/>
    <w:rsid w:val="002D4CF5"/>
    <w:rsid w:val="002D641E"/>
    <w:rsid w:val="002E022C"/>
    <w:rsid w:val="002F09A5"/>
    <w:rsid w:val="0033783A"/>
    <w:rsid w:val="00343F92"/>
    <w:rsid w:val="00345261"/>
    <w:rsid w:val="00357D5D"/>
    <w:rsid w:val="003712B6"/>
    <w:rsid w:val="003809F8"/>
    <w:rsid w:val="00382C02"/>
    <w:rsid w:val="003869AB"/>
    <w:rsid w:val="00392FA8"/>
    <w:rsid w:val="003A4B7C"/>
    <w:rsid w:val="003C354B"/>
    <w:rsid w:val="003C4F76"/>
    <w:rsid w:val="003C74E7"/>
    <w:rsid w:val="003D1137"/>
    <w:rsid w:val="003D5EC4"/>
    <w:rsid w:val="003E251E"/>
    <w:rsid w:val="003E572D"/>
    <w:rsid w:val="003F3D81"/>
    <w:rsid w:val="00402CDE"/>
    <w:rsid w:val="0041565C"/>
    <w:rsid w:val="00417D3A"/>
    <w:rsid w:val="00452946"/>
    <w:rsid w:val="004775BF"/>
    <w:rsid w:val="004947B7"/>
    <w:rsid w:val="004B19FF"/>
    <w:rsid w:val="004B43A0"/>
    <w:rsid w:val="004E31DE"/>
    <w:rsid w:val="00502F9F"/>
    <w:rsid w:val="00510515"/>
    <w:rsid w:val="00517249"/>
    <w:rsid w:val="005210F5"/>
    <w:rsid w:val="00525E99"/>
    <w:rsid w:val="0053192D"/>
    <w:rsid w:val="00534240"/>
    <w:rsid w:val="00542717"/>
    <w:rsid w:val="005504FB"/>
    <w:rsid w:val="00554D27"/>
    <w:rsid w:val="005A2652"/>
    <w:rsid w:val="005A2796"/>
    <w:rsid w:val="005A3DBD"/>
    <w:rsid w:val="005A7BE7"/>
    <w:rsid w:val="005C0D0E"/>
    <w:rsid w:val="005C397B"/>
    <w:rsid w:val="005C4541"/>
    <w:rsid w:val="005D40D7"/>
    <w:rsid w:val="005E1C58"/>
    <w:rsid w:val="00601235"/>
    <w:rsid w:val="0064328D"/>
    <w:rsid w:val="00643491"/>
    <w:rsid w:val="006619A0"/>
    <w:rsid w:val="00665A21"/>
    <w:rsid w:val="006A5538"/>
    <w:rsid w:val="006E430D"/>
    <w:rsid w:val="006E6137"/>
    <w:rsid w:val="006F0021"/>
    <w:rsid w:val="0070429F"/>
    <w:rsid w:val="007128E5"/>
    <w:rsid w:val="007374BB"/>
    <w:rsid w:val="00765732"/>
    <w:rsid w:val="00770F2F"/>
    <w:rsid w:val="00782565"/>
    <w:rsid w:val="00784DE9"/>
    <w:rsid w:val="00796185"/>
    <w:rsid w:val="007A1727"/>
    <w:rsid w:val="007B401E"/>
    <w:rsid w:val="007B51FC"/>
    <w:rsid w:val="007B5E25"/>
    <w:rsid w:val="007D109A"/>
    <w:rsid w:val="007D3418"/>
    <w:rsid w:val="007E7476"/>
    <w:rsid w:val="007F7657"/>
    <w:rsid w:val="00804354"/>
    <w:rsid w:val="008205B3"/>
    <w:rsid w:val="008221E5"/>
    <w:rsid w:val="00832817"/>
    <w:rsid w:val="00833591"/>
    <w:rsid w:val="00886C1F"/>
    <w:rsid w:val="008B206B"/>
    <w:rsid w:val="008B323F"/>
    <w:rsid w:val="008D27A6"/>
    <w:rsid w:val="008D7523"/>
    <w:rsid w:val="008F28EF"/>
    <w:rsid w:val="008F4CB8"/>
    <w:rsid w:val="008F4F3A"/>
    <w:rsid w:val="008F6F14"/>
    <w:rsid w:val="0091263C"/>
    <w:rsid w:val="00916246"/>
    <w:rsid w:val="00925CF0"/>
    <w:rsid w:val="00926A8A"/>
    <w:rsid w:val="00930570"/>
    <w:rsid w:val="00930C9F"/>
    <w:rsid w:val="00932EA4"/>
    <w:rsid w:val="009349DA"/>
    <w:rsid w:val="00952453"/>
    <w:rsid w:val="00955D62"/>
    <w:rsid w:val="009631BE"/>
    <w:rsid w:val="00963317"/>
    <w:rsid w:val="00970607"/>
    <w:rsid w:val="00974AFF"/>
    <w:rsid w:val="009752FC"/>
    <w:rsid w:val="00995E11"/>
    <w:rsid w:val="009B47F9"/>
    <w:rsid w:val="009E2381"/>
    <w:rsid w:val="009E29F4"/>
    <w:rsid w:val="00A02CD4"/>
    <w:rsid w:val="00A1063E"/>
    <w:rsid w:val="00A32DA5"/>
    <w:rsid w:val="00A5299E"/>
    <w:rsid w:val="00A538DC"/>
    <w:rsid w:val="00A55062"/>
    <w:rsid w:val="00A634BC"/>
    <w:rsid w:val="00A67FC6"/>
    <w:rsid w:val="00A74610"/>
    <w:rsid w:val="00AA30B2"/>
    <w:rsid w:val="00B024BF"/>
    <w:rsid w:val="00B219EC"/>
    <w:rsid w:val="00B42FAB"/>
    <w:rsid w:val="00B702BA"/>
    <w:rsid w:val="00B858C8"/>
    <w:rsid w:val="00BD7E21"/>
    <w:rsid w:val="00BE3C48"/>
    <w:rsid w:val="00BF6DFE"/>
    <w:rsid w:val="00BF73BE"/>
    <w:rsid w:val="00C0181E"/>
    <w:rsid w:val="00C02F8E"/>
    <w:rsid w:val="00C10A52"/>
    <w:rsid w:val="00C26C58"/>
    <w:rsid w:val="00C3202D"/>
    <w:rsid w:val="00C44482"/>
    <w:rsid w:val="00C44684"/>
    <w:rsid w:val="00C5564F"/>
    <w:rsid w:val="00C55A62"/>
    <w:rsid w:val="00C607DD"/>
    <w:rsid w:val="00C66446"/>
    <w:rsid w:val="00C7106C"/>
    <w:rsid w:val="00C7607B"/>
    <w:rsid w:val="00C85F70"/>
    <w:rsid w:val="00C93EC9"/>
    <w:rsid w:val="00C97BB6"/>
    <w:rsid w:val="00CA67B2"/>
    <w:rsid w:val="00CC47E5"/>
    <w:rsid w:val="00CC5955"/>
    <w:rsid w:val="00CD0A00"/>
    <w:rsid w:val="00CD0C50"/>
    <w:rsid w:val="00CD4858"/>
    <w:rsid w:val="00CD5863"/>
    <w:rsid w:val="00CD754E"/>
    <w:rsid w:val="00CE796D"/>
    <w:rsid w:val="00D10343"/>
    <w:rsid w:val="00D10D6A"/>
    <w:rsid w:val="00D43C16"/>
    <w:rsid w:val="00D56220"/>
    <w:rsid w:val="00D56C93"/>
    <w:rsid w:val="00D575F4"/>
    <w:rsid w:val="00D6510E"/>
    <w:rsid w:val="00D666FB"/>
    <w:rsid w:val="00D70E22"/>
    <w:rsid w:val="00D72DCB"/>
    <w:rsid w:val="00D83563"/>
    <w:rsid w:val="00DA392D"/>
    <w:rsid w:val="00DB1E81"/>
    <w:rsid w:val="00DB264C"/>
    <w:rsid w:val="00DC6C6E"/>
    <w:rsid w:val="00DE7B3D"/>
    <w:rsid w:val="00DF5A6E"/>
    <w:rsid w:val="00E073E1"/>
    <w:rsid w:val="00E26702"/>
    <w:rsid w:val="00E328A4"/>
    <w:rsid w:val="00E36842"/>
    <w:rsid w:val="00E504AD"/>
    <w:rsid w:val="00E5472A"/>
    <w:rsid w:val="00E566EA"/>
    <w:rsid w:val="00E60838"/>
    <w:rsid w:val="00E82942"/>
    <w:rsid w:val="00EC64BE"/>
    <w:rsid w:val="00ED2996"/>
    <w:rsid w:val="00EE454A"/>
    <w:rsid w:val="00F005D2"/>
    <w:rsid w:val="00F17A67"/>
    <w:rsid w:val="00F45157"/>
    <w:rsid w:val="00F52E67"/>
    <w:rsid w:val="00F73690"/>
    <w:rsid w:val="00FA5AC1"/>
    <w:rsid w:val="00FA6448"/>
    <w:rsid w:val="00FB2215"/>
    <w:rsid w:val="00FE515C"/>
    <w:rsid w:val="04376D09"/>
    <w:rsid w:val="05FD47EB"/>
    <w:rsid w:val="08D314DB"/>
    <w:rsid w:val="0DEB72AD"/>
    <w:rsid w:val="0FEE5EBF"/>
    <w:rsid w:val="109C5A91"/>
    <w:rsid w:val="112A167B"/>
    <w:rsid w:val="118D0E92"/>
    <w:rsid w:val="13F663B0"/>
    <w:rsid w:val="165C7E6C"/>
    <w:rsid w:val="18ED48BC"/>
    <w:rsid w:val="19467BE7"/>
    <w:rsid w:val="1A0C5D24"/>
    <w:rsid w:val="1D4A0776"/>
    <w:rsid w:val="1DC05026"/>
    <w:rsid w:val="1EBA172C"/>
    <w:rsid w:val="1F34546A"/>
    <w:rsid w:val="211D6576"/>
    <w:rsid w:val="217E6767"/>
    <w:rsid w:val="223D1351"/>
    <w:rsid w:val="24F961B4"/>
    <w:rsid w:val="25232FF3"/>
    <w:rsid w:val="261937B9"/>
    <w:rsid w:val="277E0F2D"/>
    <w:rsid w:val="288E4441"/>
    <w:rsid w:val="2D875F2C"/>
    <w:rsid w:val="2F3941DF"/>
    <w:rsid w:val="322C2D05"/>
    <w:rsid w:val="32556DD8"/>
    <w:rsid w:val="33613431"/>
    <w:rsid w:val="33FD63D3"/>
    <w:rsid w:val="3B094736"/>
    <w:rsid w:val="3C8B284B"/>
    <w:rsid w:val="3F09289F"/>
    <w:rsid w:val="3FAF66DE"/>
    <w:rsid w:val="41053D30"/>
    <w:rsid w:val="44615D5E"/>
    <w:rsid w:val="48E76F7A"/>
    <w:rsid w:val="49E86CCB"/>
    <w:rsid w:val="4EAE2F53"/>
    <w:rsid w:val="4F187284"/>
    <w:rsid w:val="52072091"/>
    <w:rsid w:val="5313666D"/>
    <w:rsid w:val="54695904"/>
    <w:rsid w:val="56CA12B4"/>
    <w:rsid w:val="5C7B402A"/>
    <w:rsid w:val="5D2E3777"/>
    <w:rsid w:val="5D487ACB"/>
    <w:rsid w:val="60B73991"/>
    <w:rsid w:val="630A681D"/>
    <w:rsid w:val="65EC43EC"/>
    <w:rsid w:val="67B014CE"/>
    <w:rsid w:val="6A4B2016"/>
    <w:rsid w:val="6D535020"/>
    <w:rsid w:val="6E3A199C"/>
    <w:rsid w:val="6E5D1A0F"/>
    <w:rsid w:val="6EDD2F0D"/>
    <w:rsid w:val="6F9F1B17"/>
    <w:rsid w:val="728D1522"/>
    <w:rsid w:val="738E4C09"/>
    <w:rsid w:val="74B8387A"/>
    <w:rsid w:val="752F7910"/>
    <w:rsid w:val="756C2E11"/>
    <w:rsid w:val="77C0674E"/>
    <w:rsid w:val="78573338"/>
    <w:rsid w:val="78977526"/>
    <w:rsid w:val="78CB6A1B"/>
    <w:rsid w:val="797A5FE2"/>
    <w:rsid w:val="7B3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46262"/>
  <w15:docId w15:val="{FCC03252-D0C9-42C0-A32E-07C239D9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6">
    <w:name w:val="反馈意见 正文"/>
    <w:basedOn w:val="a"/>
    <w:uiPriority w:val="1"/>
    <w:qFormat/>
    <w:pPr>
      <w:autoSpaceDE w:val="0"/>
      <w:autoSpaceDN w:val="0"/>
      <w:adjustRightInd w:val="0"/>
      <w:spacing w:line="360" w:lineRule="auto"/>
      <w:ind w:firstLineChars="200" w:firstLine="200"/>
    </w:pPr>
    <w:rPr>
      <w:rFonts w:ascii="宋体" w:hAnsi="宋体"/>
      <w:color w:val="000000"/>
      <w:kern w:val="0"/>
      <w:sz w:val="24"/>
    </w:rPr>
  </w:style>
  <w:style w:type="paragraph" w:customStyle="1" w:styleId="Section">
    <w:name w:val="Section"/>
    <w:next w:val="a"/>
    <w:uiPriority w:val="99"/>
    <w:unhideWhenUsed/>
    <w:qFormat/>
    <w:pPr>
      <w:keepNext/>
      <w:keepLines/>
      <w:widowControl w:val="0"/>
      <w:spacing w:before="300" w:after="300" w:line="241" w:lineRule="auto"/>
      <w:jc w:val="both"/>
    </w:pPr>
    <w:rPr>
      <w:rFonts w:hint="eastAsia"/>
      <w:b/>
      <w:kern w:val="28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B858C8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B858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6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sunoren</cp:lastModifiedBy>
  <cp:revision>11</cp:revision>
  <cp:lastPrinted>2021-08-27T08:25:00Z</cp:lastPrinted>
  <dcterms:created xsi:type="dcterms:W3CDTF">2021-08-26T08:46:00Z</dcterms:created>
  <dcterms:modified xsi:type="dcterms:W3CDTF">2021-08-27T08:26:00Z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