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C078AC" w14:textId="77777777" w:rsidR="000C5F86" w:rsidRPr="00B678C5" w:rsidRDefault="000C5F86" w:rsidP="000C5F86">
      <w:pPr>
        <w:rPr>
          <w:rFonts w:ascii="宋体" w:hAnsi="宋体"/>
        </w:rPr>
      </w:pPr>
      <w:r w:rsidRPr="00B678C5">
        <w:rPr>
          <w:rFonts w:ascii="宋体" w:hAnsi="宋体" w:hint="eastAsia"/>
        </w:rPr>
        <w:t>证券代码：603855</w:t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</w:r>
      <w:r w:rsidRPr="00B678C5">
        <w:rPr>
          <w:rFonts w:ascii="宋体" w:hAnsi="宋体" w:hint="eastAsia"/>
        </w:rPr>
        <w:tab/>
        <w:t>证券简称：华荣股份</w:t>
      </w:r>
    </w:p>
    <w:p w14:paraId="13CB91C1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 w:hAnsi="黑体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华</w:t>
      </w:r>
      <w:proofErr w:type="gramStart"/>
      <w:r w:rsidRPr="00B678C5">
        <w:rPr>
          <w:rFonts w:ascii="黑体" w:eastAsia="黑体" w:hAnsi="黑体" w:hint="eastAsia"/>
          <w:b/>
          <w:bCs/>
          <w:sz w:val="32"/>
          <w:szCs w:val="36"/>
        </w:rPr>
        <w:t>荣科技</w:t>
      </w:r>
      <w:proofErr w:type="gramEnd"/>
      <w:r w:rsidRPr="00B678C5">
        <w:rPr>
          <w:rFonts w:ascii="黑体" w:eastAsia="黑体" w:hAnsi="黑体" w:hint="eastAsia"/>
          <w:b/>
          <w:bCs/>
          <w:sz w:val="32"/>
          <w:szCs w:val="36"/>
        </w:rPr>
        <w:t>股份有限公司</w:t>
      </w:r>
    </w:p>
    <w:p w14:paraId="03A35F66" w14:textId="77777777" w:rsidR="000C5F86" w:rsidRPr="00B678C5" w:rsidRDefault="000C5F86" w:rsidP="000C5F86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B678C5">
        <w:rPr>
          <w:rFonts w:ascii="黑体" w:eastAsia="黑体" w:hAnsi="黑体" w:hint="eastAsia"/>
          <w:b/>
          <w:bCs/>
          <w:sz w:val="32"/>
          <w:szCs w:val="36"/>
        </w:rPr>
        <w:t>投资者关系活动记录表</w:t>
      </w:r>
    </w:p>
    <w:p w14:paraId="7B48D922" w14:textId="77777777" w:rsidR="000C5F86" w:rsidRPr="00B678C5" w:rsidRDefault="000C5F86" w:rsidP="00DD1420">
      <w:pPr>
        <w:jc w:val="right"/>
        <w:rPr>
          <w:rFonts w:ascii="宋体" w:hAnsi="宋体"/>
        </w:rPr>
      </w:pPr>
      <w:r w:rsidRPr="00B678C5">
        <w:rPr>
          <w:rFonts w:ascii="宋体" w:hAnsi="宋体" w:hint="eastAsia"/>
        </w:rPr>
        <w:t>编号：2021-001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96"/>
      </w:tblGrid>
      <w:tr w:rsidR="00777389" w:rsidRPr="00B678C5" w14:paraId="3C9038A4" w14:textId="77777777" w:rsidTr="00ED583A">
        <w:tc>
          <w:tcPr>
            <w:tcW w:w="1526" w:type="dxa"/>
            <w:vAlign w:val="center"/>
          </w:tcPr>
          <w:p w14:paraId="067932D8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996" w:type="dxa"/>
            <w:vAlign w:val="center"/>
          </w:tcPr>
          <w:p w14:paraId="72A04FA6" w14:textId="77777777" w:rsidR="00777389" w:rsidRPr="00B678C5" w:rsidRDefault="00777389">
            <w:pPr>
              <w:rPr>
                <w:bCs/>
                <w:iCs/>
                <w:sz w:val="24"/>
                <w:szCs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  <w:szCs w:val="24"/>
              </w:rPr>
              <w:t>特定对象调研</w:t>
            </w:r>
            <w:r w:rsidRPr="00B678C5">
              <w:rPr>
                <w:sz w:val="24"/>
                <w:szCs w:val="24"/>
              </w:rPr>
              <w:t xml:space="preserve">        </w:t>
            </w:r>
            <w:r w:rsidRPr="00B678C5">
              <w:rPr>
                <w:bCs/>
                <w:iCs/>
                <w:sz w:val="24"/>
                <w:szCs w:val="24"/>
              </w:rPr>
              <w:t>□</w:t>
            </w:r>
            <w:r w:rsidRPr="00B678C5">
              <w:rPr>
                <w:sz w:val="24"/>
                <w:szCs w:val="24"/>
              </w:rPr>
              <w:t>分析师会议</w:t>
            </w:r>
          </w:p>
          <w:p w14:paraId="0B1C8294" w14:textId="16E1F689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媒体采访</w:t>
            </w:r>
            <w:r w:rsidRPr="00B678C5">
              <w:rPr>
                <w:sz w:val="24"/>
              </w:rPr>
              <w:t xml:space="preserve">           </w:t>
            </w:r>
            <w:r w:rsidRPr="00B678C5">
              <w:rPr>
                <w:rFonts w:hint="eastAsia"/>
                <w:sz w:val="24"/>
              </w:rPr>
              <w:t xml:space="preserve"> </w:t>
            </w:r>
            <w:r w:rsidR="000C5F86"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业绩说明会</w:t>
            </w:r>
          </w:p>
          <w:p w14:paraId="5FCA1133" w14:textId="77777777" w:rsidR="00777389" w:rsidRPr="00B678C5" w:rsidRDefault="00777389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新闻发布会</w:t>
            </w:r>
            <w:r w:rsidRPr="00B678C5">
              <w:rPr>
                <w:sz w:val="24"/>
              </w:rPr>
              <w:t xml:space="preserve">          </w:t>
            </w:r>
            <w:r w:rsidRPr="00B678C5">
              <w:rPr>
                <w:bCs/>
                <w:iCs/>
                <w:sz w:val="24"/>
              </w:rPr>
              <w:t>□</w:t>
            </w:r>
            <w:r w:rsidRPr="00B678C5">
              <w:rPr>
                <w:sz w:val="24"/>
              </w:rPr>
              <w:t>路演活动</w:t>
            </w:r>
          </w:p>
          <w:p w14:paraId="6602BC86" w14:textId="39E44CB2" w:rsidR="00777389" w:rsidRPr="00B678C5" w:rsidRDefault="000C5F86">
            <w:pPr>
              <w:spacing w:line="480" w:lineRule="exact"/>
              <w:rPr>
                <w:bCs/>
                <w:iCs/>
                <w:sz w:val="24"/>
                <w:szCs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="00777389" w:rsidRPr="00B678C5">
              <w:rPr>
                <w:sz w:val="24"/>
                <w:szCs w:val="24"/>
              </w:rPr>
              <w:t>电话会议</w:t>
            </w:r>
          </w:p>
          <w:p w14:paraId="12074935" w14:textId="52BCC057" w:rsidR="00777389" w:rsidRPr="00B678C5" w:rsidRDefault="00AC1CA6">
            <w:pPr>
              <w:pStyle w:val="New0"/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bCs/>
                <w:iCs/>
                <w:sz w:val="24"/>
              </w:rPr>
              <w:t>□</w:t>
            </w:r>
            <w:r w:rsidR="00777389" w:rsidRPr="00B678C5">
              <w:rPr>
                <w:sz w:val="24"/>
              </w:rPr>
              <w:t>其他</w:t>
            </w:r>
          </w:p>
        </w:tc>
      </w:tr>
      <w:tr w:rsidR="00777389" w:rsidRPr="00B678C5" w14:paraId="5F0B7C9A" w14:textId="77777777" w:rsidTr="00162D41">
        <w:trPr>
          <w:trHeight w:val="1124"/>
        </w:trPr>
        <w:tc>
          <w:tcPr>
            <w:tcW w:w="1526" w:type="dxa"/>
            <w:vAlign w:val="center"/>
          </w:tcPr>
          <w:p w14:paraId="03D9C2E0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996" w:type="dxa"/>
            <w:vAlign w:val="center"/>
          </w:tcPr>
          <w:p w14:paraId="06ACA4D2" w14:textId="351DB293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时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彧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678C5">
              <w:rPr>
                <w:rFonts w:ascii="宋体" w:hAnsi="宋体"/>
                <w:sz w:val="24"/>
                <w:szCs w:val="24"/>
              </w:rPr>
              <w:t xml:space="preserve">  </w:t>
            </w:r>
            <w:r w:rsidR="00613D0B" w:rsidRPr="00B678C5">
              <w:rPr>
                <w:rFonts w:ascii="宋体" w:hAnsi="宋体" w:hint="eastAsia"/>
                <w:sz w:val="24"/>
                <w:szCs w:val="24"/>
              </w:rPr>
              <w:t>华泰证券</w:t>
            </w:r>
          </w:p>
          <w:p w14:paraId="6FD63D3C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陈珺诚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中信证券资管</w:t>
            </w:r>
          </w:p>
          <w:p w14:paraId="08F82102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/>
                <w:sz w:val="24"/>
                <w:szCs w:val="24"/>
              </w:rPr>
              <w:t>Chai Wei</w:t>
            </w:r>
            <w:r w:rsidRPr="00B678C5">
              <w:rPr>
                <w:rFonts w:ascii="宋体" w:hAnsi="宋体"/>
                <w:sz w:val="24"/>
                <w:szCs w:val="24"/>
              </w:rPr>
              <w:tab/>
              <w:t>High Flyer Quant</w:t>
            </w:r>
          </w:p>
          <w:p w14:paraId="32170718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杜婷婷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Strategic Vision Investment</w:t>
            </w:r>
          </w:p>
          <w:p w14:paraId="3877F47E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马宇腾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Eton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spellStart"/>
            <w:r w:rsidRPr="00B678C5">
              <w:rPr>
                <w:rFonts w:ascii="宋体" w:hAnsi="宋体" w:hint="eastAsia"/>
                <w:sz w:val="24"/>
                <w:szCs w:val="24"/>
              </w:rPr>
              <w:t>Yongrong</w:t>
            </w:r>
            <w:proofErr w:type="spellEnd"/>
          </w:p>
          <w:p w14:paraId="6CEB5844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祝凯伦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鹏泰投资</w:t>
            </w:r>
          </w:p>
          <w:p w14:paraId="1BA62862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王书婷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复星集团</w:t>
            </w:r>
          </w:p>
          <w:p w14:paraId="5067FEDC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洪航云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深圳中兴威投资管理</w:t>
            </w:r>
          </w:p>
          <w:p w14:paraId="40A90DCC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侯雅杰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华西证券投资部</w:t>
            </w:r>
          </w:p>
          <w:p w14:paraId="308316B7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陈思远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安信证券自营部</w:t>
            </w:r>
          </w:p>
          <w:p w14:paraId="300B2886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刘海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彬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中加基金</w:t>
            </w:r>
          </w:p>
          <w:p w14:paraId="371E5F71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董治国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前海开源基金</w:t>
            </w:r>
          </w:p>
          <w:p w14:paraId="2A2BF5BF" w14:textId="77777777" w:rsidR="00EF1C92" w:rsidRPr="00B678C5" w:rsidRDefault="00EF1C92" w:rsidP="00EF1C92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童宇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诺安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基金</w:t>
            </w:r>
          </w:p>
          <w:p w14:paraId="09D60C7F" w14:textId="463422E1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 xml:space="preserve">贺根 </w:t>
            </w:r>
            <w:r w:rsidRPr="00B678C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光大证券</w:t>
            </w:r>
          </w:p>
          <w:p w14:paraId="15DCA638" w14:textId="3F10FD66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金川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人保资产金川</w:t>
            </w:r>
          </w:p>
          <w:p w14:paraId="4CE169B7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奚晨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弗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人保资产</w:t>
            </w:r>
          </w:p>
          <w:p w14:paraId="7EA1743C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董治国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前海开源</w:t>
            </w:r>
          </w:p>
          <w:p w14:paraId="12F50B13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冯汉杰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中加基金</w:t>
            </w:r>
          </w:p>
          <w:p w14:paraId="5DB69352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王可汗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中融基金</w:t>
            </w:r>
            <w:proofErr w:type="gramEnd"/>
          </w:p>
          <w:p w14:paraId="403E8C34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赵岩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中加基金</w:t>
            </w:r>
          </w:p>
          <w:p w14:paraId="3A957172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田垒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人保资产</w:t>
            </w:r>
          </w:p>
          <w:p w14:paraId="122DF1FE" w14:textId="77777777" w:rsidR="00613D0B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张炳炜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太平养老</w:t>
            </w:r>
          </w:p>
          <w:p w14:paraId="7BF6DAF2" w14:textId="07A94D02" w:rsidR="00EF1C92" w:rsidRPr="00B678C5" w:rsidRDefault="00613D0B" w:rsidP="00613D0B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许可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天弘基金</w:t>
            </w:r>
            <w:proofErr w:type="gramEnd"/>
          </w:p>
          <w:p w14:paraId="78F057F0" w14:textId="7106FDE8" w:rsidR="00613D0B" w:rsidRPr="00B678C5" w:rsidRDefault="00613D0B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马宇腾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北京磐泽资产管理有限公司</w:t>
            </w:r>
          </w:p>
          <w:p w14:paraId="2A592F92" w14:textId="4EE66CFF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朱晔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r w:rsidR="00613D0B" w:rsidRPr="00B678C5">
              <w:rPr>
                <w:rFonts w:ascii="宋体" w:hAnsi="宋体" w:hint="eastAsia"/>
                <w:sz w:val="24"/>
                <w:szCs w:val="24"/>
              </w:rPr>
              <w:t>天风证券</w:t>
            </w:r>
          </w:p>
          <w:p w14:paraId="3A82AC3C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王垠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华夏基金管理有限公司</w:t>
            </w:r>
          </w:p>
          <w:p w14:paraId="42165C7A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叶芃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银基金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管理有限公司</w:t>
            </w:r>
          </w:p>
          <w:p w14:paraId="6EE696A0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程博文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天风证券上海浦东分公司</w:t>
            </w:r>
          </w:p>
          <w:p w14:paraId="1F2D5DF4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张铎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敦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和资产管理有限公司</w:t>
            </w:r>
          </w:p>
          <w:p w14:paraId="2A7A2DC9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李倩倩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国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海资管</w:t>
            </w:r>
            <w:proofErr w:type="gramEnd"/>
          </w:p>
          <w:p w14:paraId="2C3B5130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张亮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深圳熙山资本管理有限公司</w:t>
            </w:r>
          </w:p>
          <w:p w14:paraId="7AA657C1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王茜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产品团队</w:t>
            </w:r>
          </w:p>
          <w:p w14:paraId="5A818597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季侃乐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兴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全基金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管理有限公司</w:t>
            </w:r>
          </w:p>
          <w:p w14:paraId="35EEE313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张艺凌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上海耀之资产管理中心（有限合伙）</w:t>
            </w:r>
          </w:p>
          <w:p w14:paraId="288A14FD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王子帅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上海晓煜商务信息咨询有限公司</w:t>
            </w:r>
          </w:p>
          <w:p w14:paraId="5453F385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刘洋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首创证券有限责任公司自营</w:t>
            </w:r>
          </w:p>
          <w:p w14:paraId="33B20557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万定山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观富资产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管理有限公司</w:t>
            </w:r>
          </w:p>
          <w:p w14:paraId="4F83B425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开明达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spellStart"/>
            <w:r w:rsidRPr="00B678C5">
              <w:rPr>
                <w:rFonts w:ascii="宋体" w:hAnsi="宋体" w:hint="eastAsia"/>
                <w:sz w:val="24"/>
                <w:szCs w:val="24"/>
              </w:rPr>
              <w:t>Hony</w:t>
            </w:r>
            <w:proofErr w:type="spellEnd"/>
            <w:r w:rsidRPr="00B678C5">
              <w:rPr>
                <w:rFonts w:ascii="宋体" w:hAnsi="宋体" w:hint="eastAsia"/>
                <w:sz w:val="24"/>
                <w:szCs w:val="24"/>
              </w:rPr>
              <w:t xml:space="preserve"> / </w:t>
            </w:r>
            <w:proofErr w:type="spellStart"/>
            <w:r w:rsidRPr="00B678C5">
              <w:rPr>
                <w:rFonts w:ascii="宋体" w:hAnsi="宋体" w:hint="eastAsia"/>
                <w:sz w:val="24"/>
                <w:szCs w:val="24"/>
              </w:rPr>
              <w:t>Goldstream</w:t>
            </w:r>
            <w:proofErr w:type="spellEnd"/>
            <w:r w:rsidRPr="00B678C5">
              <w:rPr>
                <w:rFonts w:ascii="宋体" w:hAnsi="宋体" w:hint="eastAsia"/>
                <w:sz w:val="24"/>
                <w:szCs w:val="24"/>
              </w:rPr>
              <w:t xml:space="preserve"> Capital</w:t>
            </w:r>
          </w:p>
          <w:p w14:paraId="0AA2CB9B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周雨晖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歌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斐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资产管理有限公司</w:t>
            </w:r>
          </w:p>
          <w:p w14:paraId="2269BCD2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陈曦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浙江英睿投资管理有限公司</w:t>
            </w:r>
          </w:p>
          <w:p w14:paraId="4D7D9104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源承公共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邮箱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湖南源乘投资管理有限公司</w:t>
            </w:r>
          </w:p>
          <w:p w14:paraId="6531204A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刘荫泽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农银汇理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基金管理有限公司</w:t>
            </w:r>
          </w:p>
          <w:p w14:paraId="28B0AEEB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杨朝晖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上银基金</w:t>
            </w:r>
          </w:p>
          <w:p w14:paraId="1D3346C3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王开展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景顺长城基金管理有限公司</w:t>
            </w:r>
          </w:p>
          <w:p w14:paraId="532E7510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贾仁栋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招商基金管理有限公司</w:t>
            </w:r>
          </w:p>
          <w:p w14:paraId="384DD8EE" w14:textId="77777777" w:rsidR="007676BD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才典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ab/>
              <w:t>东方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睿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石投资管理有限公司</w:t>
            </w:r>
          </w:p>
          <w:p w14:paraId="02D31F93" w14:textId="77777777" w:rsidR="00DF7FAA" w:rsidRPr="00B678C5" w:rsidRDefault="007676BD" w:rsidP="007676BD">
            <w:pPr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高翔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ab/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万联证券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资产管理部</w:t>
            </w:r>
          </w:p>
          <w:p w14:paraId="3157C6FF" w14:textId="77777777" w:rsidR="00613D0B" w:rsidRPr="00B678C5" w:rsidRDefault="00613D0B" w:rsidP="00613D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C5">
              <w:rPr>
                <w:rFonts w:ascii="Times New Roman" w:hAnsi="Times New Roman" w:hint="eastAsia"/>
                <w:sz w:val="24"/>
                <w:szCs w:val="24"/>
              </w:rPr>
              <w:t>付羽</w:t>
            </w:r>
            <w:proofErr w:type="gramEnd"/>
            <w:r w:rsidRPr="00B678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67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78C5">
              <w:rPr>
                <w:rFonts w:ascii="Times New Roman" w:hAnsi="Times New Roman" w:hint="eastAsia"/>
                <w:sz w:val="24"/>
                <w:szCs w:val="24"/>
              </w:rPr>
              <w:t>明己投资</w:t>
            </w:r>
          </w:p>
          <w:p w14:paraId="279C9357" w14:textId="16B8245D" w:rsidR="007676BD" w:rsidRPr="00B678C5" w:rsidRDefault="00613D0B" w:rsidP="00613D0B">
            <w:pPr>
              <w:rPr>
                <w:rFonts w:ascii="Times New Roman" w:hAnsi="Times New Roman"/>
                <w:sz w:val="24"/>
                <w:szCs w:val="24"/>
              </w:rPr>
            </w:pPr>
            <w:r w:rsidRPr="00B678C5">
              <w:rPr>
                <w:rFonts w:ascii="Times New Roman" w:hAnsi="Times New Roman" w:hint="eastAsia"/>
                <w:sz w:val="24"/>
                <w:szCs w:val="24"/>
              </w:rPr>
              <w:t>邹静</w:t>
            </w:r>
            <w:r w:rsidRPr="00B678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67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78C5">
              <w:rPr>
                <w:rFonts w:ascii="Times New Roman" w:hAnsi="Times New Roman" w:hint="eastAsia"/>
                <w:sz w:val="24"/>
                <w:szCs w:val="24"/>
              </w:rPr>
              <w:t>中金公司</w:t>
            </w:r>
          </w:p>
          <w:p w14:paraId="5415AFF0" w14:textId="54DFC438" w:rsidR="00613D0B" w:rsidRPr="00B678C5" w:rsidRDefault="00613D0B" w:rsidP="00613D0B">
            <w:pPr>
              <w:rPr>
                <w:rFonts w:ascii="Times New Roman" w:hAnsi="Times New Roman"/>
                <w:sz w:val="24"/>
                <w:szCs w:val="24"/>
              </w:rPr>
            </w:pPr>
            <w:r w:rsidRPr="00B678C5">
              <w:rPr>
                <w:rFonts w:ascii="Times New Roman" w:hAnsi="Times New Roman" w:hint="eastAsia"/>
                <w:sz w:val="24"/>
                <w:szCs w:val="24"/>
              </w:rPr>
              <w:t>黄道立</w:t>
            </w:r>
            <w:r w:rsidRPr="00B678C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678C5">
              <w:rPr>
                <w:rFonts w:ascii="Times New Roman" w:hAnsi="Times New Roman" w:hint="eastAsia"/>
                <w:sz w:val="24"/>
                <w:szCs w:val="24"/>
              </w:rPr>
              <w:t>国信证券</w:t>
            </w:r>
          </w:p>
        </w:tc>
      </w:tr>
      <w:tr w:rsidR="00777389" w:rsidRPr="00B678C5" w14:paraId="17176A3F" w14:textId="77777777" w:rsidTr="00ED583A">
        <w:trPr>
          <w:trHeight w:val="460"/>
        </w:trPr>
        <w:tc>
          <w:tcPr>
            <w:tcW w:w="1526" w:type="dxa"/>
            <w:vAlign w:val="center"/>
          </w:tcPr>
          <w:p w14:paraId="56B807CB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996" w:type="dxa"/>
            <w:vAlign w:val="center"/>
          </w:tcPr>
          <w:p w14:paraId="25167A87" w14:textId="77777777" w:rsidR="000C5F86" w:rsidRPr="00B678C5" w:rsidRDefault="000C5F86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2021年8月27日 10:00-11:00</w:t>
            </w:r>
          </w:p>
          <w:p w14:paraId="6D0FED81" w14:textId="6F423B01" w:rsidR="005F386B" w:rsidRPr="00B678C5" w:rsidRDefault="005F386B">
            <w:pPr>
              <w:pStyle w:val="New0"/>
              <w:spacing w:line="480" w:lineRule="atLeast"/>
              <w:rPr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2021年8月27日 13:00-14:00</w:t>
            </w:r>
          </w:p>
        </w:tc>
      </w:tr>
      <w:tr w:rsidR="00777389" w:rsidRPr="00B678C5" w14:paraId="736EAFBD" w14:textId="77777777" w:rsidTr="00ED583A">
        <w:trPr>
          <w:trHeight w:val="450"/>
        </w:trPr>
        <w:tc>
          <w:tcPr>
            <w:tcW w:w="1526" w:type="dxa"/>
            <w:vAlign w:val="center"/>
          </w:tcPr>
          <w:p w14:paraId="7853BA71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6996" w:type="dxa"/>
            <w:vAlign w:val="center"/>
          </w:tcPr>
          <w:p w14:paraId="3F246CCC" w14:textId="18DF084E" w:rsidR="00777389" w:rsidRPr="00B678C5" w:rsidRDefault="00ED583A" w:rsidP="00ED583A">
            <w:pPr>
              <w:pStyle w:val="New0"/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上海市嘉定区宝</w:t>
            </w:r>
            <w:proofErr w:type="gramStart"/>
            <w:r w:rsidRPr="00B678C5">
              <w:rPr>
                <w:rFonts w:ascii="宋体" w:hAnsi="宋体" w:hint="eastAsia"/>
                <w:bCs/>
                <w:iCs/>
                <w:sz w:val="24"/>
              </w:rPr>
              <w:t>钱公路</w:t>
            </w:r>
            <w:proofErr w:type="gramEnd"/>
            <w:r w:rsidRPr="00B678C5">
              <w:rPr>
                <w:rFonts w:ascii="宋体" w:hAnsi="宋体" w:hint="eastAsia"/>
                <w:bCs/>
                <w:iCs/>
                <w:sz w:val="24"/>
              </w:rPr>
              <w:t>555号A栋4楼会议室</w:t>
            </w:r>
          </w:p>
        </w:tc>
      </w:tr>
      <w:tr w:rsidR="00777389" w:rsidRPr="00B678C5" w14:paraId="32DBB040" w14:textId="77777777" w:rsidTr="00ED583A">
        <w:trPr>
          <w:trHeight w:val="1010"/>
        </w:trPr>
        <w:tc>
          <w:tcPr>
            <w:tcW w:w="1526" w:type="dxa"/>
            <w:vAlign w:val="center"/>
          </w:tcPr>
          <w:p w14:paraId="7858D97F" w14:textId="77777777" w:rsidR="00777389" w:rsidRPr="00B678C5" w:rsidRDefault="00777389">
            <w:pPr>
              <w:pStyle w:val="New0"/>
              <w:spacing w:line="480" w:lineRule="atLeast"/>
              <w:rPr>
                <w:b/>
                <w:bCs/>
                <w:iCs/>
                <w:sz w:val="24"/>
              </w:rPr>
            </w:pPr>
            <w:r w:rsidRPr="00B678C5"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996" w:type="dxa"/>
            <w:vAlign w:val="center"/>
          </w:tcPr>
          <w:p w14:paraId="039CD673" w14:textId="76480A42" w:rsidR="00777389" w:rsidRPr="00B678C5" w:rsidRDefault="007B6D06" w:rsidP="007B6D06">
            <w:pPr>
              <w:pStyle w:val="New0"/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678C5">
              <w:rPr>
                <w:rFonts w:ascii="宋体" w:hAnsi="宋体" w:hint="eastAsia"/>
                <w:bCs/>
                <w:iCs/>
                <w:sz w:val="24"/>
              </w:rPr>
              <w:t>董事、厂用防爆事业部负责人李江</w:t>
            </w:r>
            <w:r w:rsidR="007B26D6">
              <w:rPr>
                <w:rFonts w:ascii="宋体" w:hAnsi="宋体" w:hint="eastAsia"/>
                <w:bCs/>
                <w:iCs/>
                <w:sz w:val="24"/>
              </w:rPr>
              <w:t>；</w:t>
            </w:r>
            <w:proofErr w:type="gramStart"/>
            <w:r w:rsidR="006A058D" w:rsidRPr="00B678C5">
              <w:rPr>
                <w:rFonts w:ascii="宋体" w:hAnsi="宋体" w:hint="eastAsia"/>
                <w:bCs/>
                <w:iCs/>
                <w:sz w:val="24"/>
              </w:rPr>
              <w:t>董秘郑</w:t>
            </w:r>
            <w:proofErr w:type="gramEnd"/>
            <w:r w:rsidR="006A058D" w:rsidRPr="00B678C5">
              <w:rPr>
                <w:rFonts w:ascii="宋体" w:hAnsi="宋体" w:hint="eastAsia"/>
                <w:bCs/>
                <w:iCs/>
                <w:sz w:val="24"/>
              </w:rPr>
              <w:t>晓荣</w:t>
            </w:r>
            <w:r w:rsidR="007B26D6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="006A058D" w:rsidRPr="00B678C5">
              <w:rPr>
                <w:rFonts w:ascii="宋体" w:hAnsi="宋体" w:hint="eastAsia"/>
                <w:bCs/>
                <w:iCs/>
                <w:sz w:val="24"/>
              </w:rPr>
              <w:t>财务总监孙立</w:t>
            </w:r>
            <w:r w:rsidRPr="00B678C5" w:rsidDel="007B6D06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</w:p>
        </w:tc>
      </w:tr>
      <w:tr w:rsidR="008747C7" w:rsidRPr="00B678C5" w14:paraId="5CFA294A" w14:textId="2A0B6D74" w:rsidTr="00ED583A">
        <w:trPr>
          <w:trHeight w:val="1797"/>
        </w:trPr>
        <w:tc>
          <w:tcPr>
            <w:tcW w:w="1526" w:type="dxa"/>
            <w:vAlign w:val="center"/>
          </w:tcPr>
          <w:p w14:paraId="20544C27" w14:textId="3288C62A" w:rsidR="008747C7" w:rsidRPr="00B678C5" w:rsidRDefault="008747C7" w:rsidP="00F32AB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996" w:type="dxa"/>
            <w:vAlign w:val="center"/>
          </w:tcPr>
          <w:p w14:paraId="72D8ACDC" w14:textId="77777777" w:rsidR="008747C7" w:rsidRPr="00B678C5" w:rsidRDefault="008747C7" w:rsidP="00522240"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678C5">
              <w:rPr>
                <w:rFonts w:ascii="宋体" w:hAnsi="宋体" w:hint="eastAsia"/>
                <w:b/>
                <w:bCs/>
                <w:sz w:val="24"/>
                <w:szCs w:val="24"/>
              </w:rPr>
              <w:t>一、经营情况介绍：</w:t>
            </w:r>
          </w:p>
          <w:p w14:paraId="7D6C7039" w14:textId="5ED0BDFD" w:rsidR="008747C7" w:rsidRPr="00B678C5" w:rsidRDefault="008747C7" w:rsidP="00522240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bookmarkStart w:id="0" w:name="_Hlk81087089"/>
            <w:r w:rsidRPr="00B678C5">
              <w:rPr>
                <w:rFonts w:ascii="宋体" w:hAnsi="宋体" w:hint="eastAsia"/>
                <w:sz w:val="24"/>
                <w:szCs w:val="24"/>
              </w:rPr>
              <w:t>公司上半年营收</w:t>
            </w:r>
            <w:r w:rsidRPr="00B678C5">
              <w:rPr>
                <w:rFonts w:ascii="宋体" w:hAnsi="宋体"/>
                <w:sz w:val="24"/>
                <w:szCs w:val="24"/>
              </w:rPr>
              <w:t>12亿，同比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36%，构成方面厂用防爆7.6亿，同比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14%；国内5亿，同比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26%；海外业务2.6亿，同比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3.8%。矿用防爆9400万，同比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9%，光伏EPC业务上半年确认1.88亿，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该业务为新业务</w:t>
            </w:r>
            <w:r w:rsidR="00CF5215" w:rsidRPr="00B678C5">
              <w:rPr>
                <w:rFonts w:ascii="宋体" w:hAnsi="宋体" w:hint="eastAsia"/>
                <w:sz w:val="24"/>
                <w:szCs w:val="24"/>
              </w:rPr>
              <w:t>，采用不主动发展、不垫资的经营模式</w:t>
            </w:r>
            <w:r w:rsidRPr="00B678C5">
              <w:rPr>
                <w:rFonts w:ascii="宋体" w:hAnsi="宋体"/>
                <w:sz w:val="24"/>
                <w:szCs w:val="24"/>
              </w:rPr>
              <w:t>;专业照明上半年1.3亿，同比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35%。</w:t>
            </w:r>
          </w:p>
          <w:p w14:paraId="441A4819" w14:textId="62071348" w:rsidR="008747C7" w:rsidRPr="00B678C5" w:rsidRDefault="008747C7" w:rsidP="00522240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公司上半年毛利率</w:t>
            </w:r>
            <w:r w:rsidRPr="00B678C5">
              <w:rPr>
                <w:rFonts w:ascii="宋体" w:hAnsi="宋体"/>
                <w:sz w:val="24"/>
                <w:szCs w:val="24"/>
              </w:rPr>
              <w:t>50.8%，同比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7.1%，主要是上半年毛利率较低的光</w:t>
            </w:r>
            <w:proofErr w:type="gramStart"/>
            <w:r w:rsidRPr="00B678C5">
              <w:rPr>
                <w:rFonts w:ascii="宋体" w:hAnsi="宋体"/>
                <w:sz w:val="24"/>
                <w:szCs w:val="24"/>
              </w:rPr>
              <w:t>伏收入</w:t>
            </w:r>
            <w:proofErr w:type="gramEnd"/>
            <w:r w:rsidRPr="00B678C5">
              <w:rPr>
                <w:rFonts w:ascii="宋体" w:hAnsi="宋体"/>
                <w:sz w:val="24"/>
                <w:szCs w:val="24"/>
              </w:rPr>
              <w:t>占比大于同期导致。厂用防爆毛利率59.6%，同比略低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；</w:t>
            </w:r>
            <w:r w:rsidR="00CF5215" w:rsidRPr="00B678C5">
              <w:rPr>
                <w:rFonts w:ascii="宋体" w:hAnsi="宋体" w:hint="eastAsia"/>
                <w:sz w:val="24"/>
                <w:szCs w:val="24"/>
              </w:rPr>
              <w:t>专业</w:t>
            </w:r>
            <w:r w:rsidRPr="00B678C5">
              <w:rPr>
                <w:rFonts w:ascii="宋体" w:hAnsi="宋体"/>
                <w:sz w:val="24"/>
                <w:szCs w:val="24"/>
              </w:rPr>
              <w:t>照明</w:t>
            </w:r>
            <w:r w:rsidR="00CF5215" w:rsidRPr="00B678C5">
              <w:rPr>
                <w:rFonts w:ascii="宋体" w:hAnsi="宋体" w:hint="eastAsia"/>
                <w:sz w:val="24"/>
                <w:szCs w:val="24"/>
              </w:rPr>
              <w:t>6</w:t>
            </w:r>
            <w:r w:rsidR="00CF5215" w:rsidRPr="00B678C5">
              <w:rPr>
                <w:rFonts w:ascii="宋体" w:hAnsi="宋体"/>
                <w:sz w:val="24"/>
                <w:szCs w:val="24"/>
              </w:rPr>
              <w:t>4.1%</w:t>
            </w:r>
            <w:r w:rsidR="00CF5215" w:rsidRPr="00B678C5">
              <w:rPr>
                <w:rFonts w:ascii="宋体" w:hAnsi="宋体" w:hint="eastAsia"/>
                <w:sz w:val="24"/>
                <w:szCs w:val="24"/>
              </w:rPr>
              <w:t>，略有提升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；</w:t>
            </w:r>
            <w:r w:rsidRPr="00B678C5">
              <w:rPr>
                <w:rFonts w:ascii="宋体" w:hAnsi="宋体"/>
                <w:sz w:val="24"/>
                <w:szCs w:val="24"/>
              </w:rPr>
              <w:t>矿用同比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2%，光伏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毛利率</w:t>
            </w:r>
            <w:r w:rsidRPr="00B678C5">
              <w:rPr>
                <w:rFonts w:ascii="宋体" w:hAnsi="宋体"/>
                <w:sz w:val="24"/>
                <w:szCs w:val="24"/>
              </w:rPr>
              <w:t>13.8%。</w:t>
            </w:r>
          </w:p>
          <w:p w14:paraId="3F4CB7A1" w14:textId="56250CF3" w:rsidR="008747C7" w:rsidRPr="00B678C5" w:rsidRDefault="008747C7" w:rsidP="00522240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公司销售费用率</w:t>
            </w:r>
            <w:r w:rsidRPr="00B678C5">
              <w:rPr>
                <w:rFonts w:ascii="宋体" w:hAnsi="宋体"/>
                <w:sz w:val="24"/>
                <w:szCs w:val="24"/>
              </w:rPr>
              <w:t>27.9%，同比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6.2%，主要是光伏EPC业务</w:t>
            </w:r>
            <w:r w:rsidRPr="00B678C5">
              <w:rPr>
                <w:rFonts w:ascii="宋体" w:hAnsi="宋体"/>
                <w:sz w:val="24"/>
                <w:szCs w:val="24"/>
              </w:rPr>
              <w:lastRenderedPageBreak/>
              <w:t>对应费用率比较低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；</w:t>
            </w:r>
            <w:r w:rsidRPr="00B678C5">
              <w:rPr>
                <w:rFonts w:ascii="宋体" w:hAnsi="宋体"/>
                <w:sz w:val="24"/>
                <w:szCs w:val="24"/>
              </w:rPr>
              <w:t>厂用事业部的整个销售费用率降低2%</w:t>
            </w:r>
            <w:r w:rsidR="00CF5215" w:rsidRPr="00B678C5">
              <w:rPr>
                <w:rFonts w:ascii="宋体" w:hAnsi="宋体" w:hint="eastAsia"/>
                <w:sz w:val="24"/>
                <w:szCs w:val="24"/>
              </w:rPr>
              <w:t>，呈下降趋势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；</w:t>
            </w:r>
            <w:r w:rsidRPr="00B678C5">
              <w:rPr>
                <w:rFonts w:ascii="宋体" w:hAnsi="宋体"/>
                <w:sz w:val="24"/>
                <w:szCs w:val="24"/>
              </w:rPr>
              <w:t>照明事业</w:t>
            </w:r>
            <w:proofErr w:type="gramStart"/>
            <w:r w:rsidRPr="00B678C5">
              <w:rPr>
                <w:rFonts w:ascii="宋体" w:hAnsi="宋体"/>
                <w:sz w:val="24"/>
                <w:szCs w:val="24"/>
              </w:rPr>
              <w:t>部基本</w:t>
            </w:r>
            <w:proofErr w:type="gramEnd"/>
            <w:r w:rsidRPr="00B678C5">
              <w:rPr>
                <w:rFonts w:ascii="宋体" w:hAnsi="宋体"/>
                <w:sz w:val="24"/>
                <w:szCs w:val="24"/>
              </w:rPr>
              <w:t>持平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；</w:t>
            </w:r>
            <w:r w:rsidRPr="00B678C5">
              <w:rPr>
                <w:rFonts w:ascii="宋体" w:hAnsi="宋体"/>
                <w:sz w:val="24"/>
                <w:szCs w:val="24"/>
              </w:rPr>
              <w:t>能源事业部受光</w:t>
            </w:r>
            <w:proofErr w:type="gramStart"/>
            <w:r w:rsidRPr="00B678C5">
              <w:rPr>
                <w:rFonts w:ascii="宋体" w:hAnsi="宋体"/>
                <w:sz w:val="24"/>
                <w:szCs w:val="24"/>
              </w:rPr>
              <w:t>伏影响</w:t>
            </w:r>
            <w:proofErr w:type="gramEnd"/>
            <w:r w:rsidRPr="00B678C5">
              <w:rPr>
                <w:rFonts w:ascii="宋体" w:hAnsi="宋体"/>
                <w:sz w:val="24"/>
                <w:szCs w:val="24"/>
              </w:rPr>
              <w:t>下降较大。公司坏账基本是业务发展商承担，合并考虑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减少</w:t>
            </w:r>
            <w:r w:rsidRPr="00B678C5">
              <w:rPr>
                <w:rFonts w:ascii="宋体" w:hAnsi="宋体"/>
                <w:sz w:val="24"/>
                <w:szCs w:val="24"/>
              </w:rPr>
              <w:t>5%。管理费用率略降，研发费用率略升。总体三项费用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6%。厂用事业部净利率同比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1.6%,能源事业部同比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2.2%，主要是光</w:t>
            </w:r>
            <w:proofErr w:type="gramStart"/>
            <w:r w:rsidRPr="00B678C5">
              <w:rPr>
                <w:rFonts w:ascii="宋体" w:hAnsi="宋体"/>
                <w:sz w:val="24"/>
                <w:szCs w:val="24"/>
              </w:rPr>
              <w:t>伏贡献</w:t>
            </w:r>
            <w:proofErr w:type="gramEnd"/>
            <w:r w:rsidRPr="00B678C5">
              <w:rPr>
                <w:rFonts w:ascii="宋体" w:hAnsi="宋体"/>
                <w:sz w:val="24"/>
                <w:szCs w:val="24"/>
              </w:rPr>
              <w:t>利润；照明事业部同比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下降</w:t>
            </w:r>
            <w:r w:rsidRPr="00B678C5">
              <w:rPr>
                <w:rFonts w:ascii="宋体" w:hAnsi="宋体"/>
                <w:sz w:val="24"/>
                <w:szCs w:val="24"/>
              </w:rPr>
              <w:t>0.2%。合并净利润同比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40%，净利率同比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</w:t>
            </w:r>
            <w:r w:rsidRPr="00B678C5">
              <w:rPr>
                <w:rFonts w:ascii="宋体" w:hAnsi="宋体"/>
                <w:sz w:val="24"/>
                <w:szCs w:val="24"/>
              </w:rPr>
              <w:t>0.2%。</w:t>
            </w:r>
          </w:p>
          <w:p w14:paraId="7D2D7F70" w14:textId="77777777" w:rsidR="008747C7" w:rsidRPr="00B678C5" w:rsidRDefault="008747C7" w:rsidP="00522240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上半年现金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流比较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好，经营现金流同比大幅增加，回款较好，光伏有预收款，对现金流有正向作用。</w:t>
            </w:r>
          </w:p>
          <w:bookmarkEnd w:id="0"/>
          <w:p w14:paraId="557EF7BA" w14:textId="77777777" w:rsidR="008747C7" w:rsidRPr="00B678C5" w:rsidRDefault="008747C7" w:rsidP="00522240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14:paraId="02F28725" w14:textId="77777777" w:rsidR="008747C7" w:rsidRPr="00B678C5" w:rsidRDefault="008747C7" w:rsidP="00522240"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678C5">
              <w:rPr>
                <w:rFonts w:ascii="宋体" w:hAnsi="宋体" w:hint="eastAsia"/>
                <w:b/>
                <w:bCs/>
                <w:sz w:val="24"/>
                <w:szCs w:val="24"/>
              </w:rPr>
              <w:t>问答环节</w:t>
            </w:r>
          </w:p>
          <w:p w14:paraId="7BFA2E9E" w14:textId="4A0674E3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1.公司在国内新兴领域的进展？</w:t>
            </w:r>
          </w:p>
          <w:p w14:paraId="08CA30DA" w14:textId="4FC0C501" w:rsidR="00083362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083362" w:rsidRPr="00B678C5">
              <w:rPr>
                <w:rFonts w:ascii="宋体" w:hAnsi="宋体" w:hint="eastAsia"/>
                <w:sz w:val="24"/>
                <w:szCs w:val="24"/>
              </w:rPr>
              <w:t>近两年来自新兴领域的订单快速增长，业务构成中新兴和传统领域收入接近</w:t>
            </w:r>
            <w:proofErr w:type="gramStart"/>
            <w:r w:rsidR="00083362" w:rsidRPr="00B678C5">
              <w:rPr>
                <w:rFonts w:ascii="宋体" w:hAnsi="宋体" w:hint="eastAsia"/>
                <w:sz w:val="24"/>
                <w:szCs w:val="24"/>
              </w:rPr>
              <w:t>五五</w:t>
            </w:r>
            <w:proofErr w:type="gramEnd"/>
            <w:r w:rsidR="00083362" w:rsidRPr="00B678C5">
              <w:rPr>
                <w:rFonts w:ascii="宋体" w:hAnsi="宋体" w:hint="eastAsia"/>
                <w:sz w:val="24"/>
                <w:szCs w:val="24"/>
              </w:rPr>
              <w:t>开。</w:t>
            </w:r>
          </w:p>
          <w:p w14:paraId="47DB6ADE" w14:textId="59CC2C3E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白酒行业发展趋势良好，前三年业务收入主要来自于茅台，现在已向越来越多酒厂供货，包括：五粮液，习酒、古井贡等。此外，啤酒、红酒等行业也对防爆电器有所要求。</w:t>
            </w:r>
          </w:p>
          <w:p w14:paraId="479FB013" w14:textId="77EC1886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核电</w:t>
            </w:r>
            <w:r w:rsidR="00335D61" w:rsidRPr="00B678C5">
              <w:rPr>
                <w:rFonts w:ascii="宋体" w:hAnsi="宋体" w:hint="eastAsia"/>
                <w:sz w:val="24"/>
                <w:szCs w:val="24"/>
              </w:rPr>
              <w:t>领域，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国内存量核电机组50台左右，市场普遍预测每年新建机组6-8台。近两年中国核电进入国产化替代期，华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荣开发的核级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照明产品通过国家技术认证，填补了国内空白。2021年上半年公司获得了5个新建核电站的全部防爆防辐射灯具订单，目前正在逐批次交货，</w:t>
            </w:r>
            <w:bookmarkStart w:id="1" w:name="_GoBack"/>
            <w:bookmarkEnd w:id="1"/>
            <w:r w:rsidRPr="00B678C5">
              <w:rPr>
                <w:rFonts w:ascii="宋体" w:hAnsi="宋体" w:hint="eastAsia"/>
                <w:sz w:val="24"/>
                <w:szCs w:val="24"/>
              </w:rPr>
              <w:t>未来2年内完成交货。核电灯具更换周期约3年，随着存量的50余台存量核电机组中照明设备更换需求逐步释放，核电新建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和维保更换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订单将成为公司重要的增量业绩来源。</w:t>
            </w:r>
          </w:p>
          <w:p w14:paraId="5432922E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军工方面，2019年拿到军工三证，目前产品已应用于国防基地建设、舰艇配套、航空航天以及装备承制，在航母、火箭等领域都有华荣的贡献。2021年上半年已完成交付量相当于2020年全年业务量，预计未来会获得更快速的发展。</w:t>
            </w:r>
          </w:p>
          <w:p w14:paraId="331EE147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医药领域属于精细化工，也对防爆有了新的要求，在传统气体防爆+粉尘防爆的要求上增加了洁净防爆的需求，华荣为客户提供定制化产品，产品具有溢价性。</w:t>
            </w:r>
          </w:p>
          <w:p w14:paraId="42B53038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3C079C80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2.粉尘防爆新规定对公司及整个行业的影响？</w:t>
            </w:r>
          </w:p>
          <w:p w14:paraId="0B0BB145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答：这对整个防爆行业都是利好，不仅有行政监管力度的加强，还有推动用户安全意识的提升。应急管理部公布了《工贸企业粉尘防爆安全规定》，粉尘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涉爆企业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应当规范选用与爆炸危险区域相适应的防爆型电气设备，《规定》于2021年9月1日起施行。目前全国粉尘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涉爆企业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共计约4.35万家，涉及金属制品加工、木制品加工、农副产品加工、纺织品加工、塑料橡胶制品加工等多个细分行业领域，预计整改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需求超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百亿元。其中粉尘作业场所30人以上的企业近三千家，头部企业更易成为华荣客户，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华荣会抓住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这个机遇激发增长。</w:t>
            </w:r>
          </w:p>
          <w:p w14:paraId="5A9C6494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3CCB6AAA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3.防爆电器这几年变成了硬性标准，存量市场未来需要多少年完成改造？</w:t>
            </w:r>
          </w:p>
          <w:p w14:paraId="62C7E0FC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整个市场中，存量市场占比约60%，增量约40%左右，未来存量占比会提升。存量市场有大量的防爆电器，使用年限在3年左右，新产品的迭代，老产品更换，存量的更换维修是一个持续滚动的过程，很难把他框在一个时段内。</w:t>
            </w:r>
          </w:p>
          <w:p w14:paraId="290F0C99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41631662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4.请介绍一下安工智能系统和业务发展情况？</w:t>
            </w:r>
          </w:p>
          <w:p w14:paraId="115E8E69" w14:textId="28C7F0B6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答：公司2012年提出打造工业物联网设想，并通过与高校产学研的模式孵化。技术成熟后邀请外协团队执行开发，公司具备完全的自主知识产权。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目前安工系统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由公司信息部门维护升级，已从之前的6大子系统扩展到了现在9大子系统，可以将所有智能防爆硬件产品接到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安工平台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，为用户提供智能化管控服务，从单一的“防爆制造商”向“服务商、营运商”的转型。</w:t>
            </w:r>
          </w:p>
          <w:p w14:paraId="738A1FB1" w14:textId="10FF77FF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安工系统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和智能化硬件产品2019年正式商业化推广，2020年有6</w:t>
            </w:r>
            <w:r w:rsidR="00A37714">
              <w:rPr>
                <w:rFonts w:ascii="宋体" w:hAnsi="宋体" w:hint="eastAsia"/>
                <w:sz w:val="24"/>
                <w:szCs w:val="24"/>
              </w:rPr>
              <w:t>个订单落地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。客户基本上集中在中石化、中石油、中海油、中化、招商局等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大型央企和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国企。</w:t>
            </w:r>
          </w:p>
          <w:p w14:paraId="46D776B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5F3892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5.华荣在全球市场的竞争优势？</w:t>
            </w:r>
          </w:p>
          <w:p w14:paraId="3AE0B565" w14:textId="62B35D10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答：华荣的产品质量，跟国际龙头公司相比在同一水平，成本优势非常明显</w:t>
            </w:r>
            <w:r w:rsidR="007B6D06" w:rsidRPr="00B678C5">
              <w:rPr>
                <w:rFonts w:ascii="宋体" w:hAnsi="宋体" w:hint="eastAsia"/>
                <w:sz w:val="24"/>
                <w:szCs w:val="24"/>
              </w:rPr>
              <w:t>，</w:t>
            </w:r>
            <w:r w:rsidR="00F32F99" w:rsidRPr="00B678C5">
              <w:rPr>
                <w:rFonts w:ascii="宋体" w:hAnsi="宋体" w:hint="eastAsia"/>
                <w:sz w:val="24"/>
                <w:szCs w:val="24"/>
              </w:rPr>
              <w:t>服务的能力和响应速度超过国际同行，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公司是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全产品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线的防爆电器供应商，为用户提供从设计、安装、培训一条龙的一站式服务方案，获得用户在项目部采购和打包采购的优选。销售方面，公司拥有快速、全方位的营销服务，执行“4、8、24”服务原则，远远超于国际同行传统的营销服务理念，具有强大的竞争力。公司对海外市场的发展充满信心，认为长期来看海外市场收入规模会超过国内。</w:t>
            </w:r>
          </w:p>
          <w:p w14:paraId="599BA79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4378A1F8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6.海外业务的增长动力？</w:t>
            </w:r>
          </w:p>
          <w:p w14:paraId="05EA92B2" w14:textId="7BF9F04C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业务的增长主要来自海外油气行业的存量市场和增量市场。华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市场占有率仅2%左右，不存在天花板，海外的存量市场、增量市场都是增量业绩来源。华荣作为国际防爆行业中的新兴力量，经过16年的海外探索，无论在产品技术、质量，还是产品价格、快速响应的服务能力以及国际市场影响力和国际用户认可度上，都得到了长足的发展。近几年相较海外</w:t>
            </w:r>
            <w:r w:rsidRPr="00B678C5">
              <w:rPr>
                <w:rFonts w:ascii="宋体" w:hAnsi="宋体"/>
                <w:sz w:val="24"/>
                <w:szCs w:val="24"/>
              </w:rPr>
              <w:t>4家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头部可比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公司具备明显的竞争优势，这是华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业务增长的重要保障。</w:t>
            </w:r>
          </w:p>
          <w:p w14:paraId="130A63D9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0A5439E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7.海外市场情况以及展望？</w:t>
            </w:r>
          </w:p>
          <w:p w14:paraId="2F1FB853" w14:textId="16061D8A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业务目前是全球式的展开，中东、非洲、远东以及东南亚这四个板块已经成为华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业务的主力市场。目前，华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荣已经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成为将近</w:t>
            </w:r>
            <w:r w:rsidR="00860592">
              <w:rPr>
                <w:rFonts w:ascii="宋体" w:hAnsi="宋体" w:hint="eastAsia"/>
                <w:sz w:val="24"/>
                <w:szCs w:val="24"/>
              </w:rPr>
              <w:t>百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家国际大型油气公司和EPC公司的“合格供应商”，几乎覆盖了所有头部石化企业，2021年正在启动新一批用户的“入围”工作，预计到今年年底将新增50家用户公司，不断加大“入围”工作推进力度将进一步提升华荣在国际市场的知名度，更将直接带来业务订单的直线增加。2005年-2015年，华荣用10年的努力已经全面突破国际防爆认证壁垒，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荣品牌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得到了国际用户的认可和赞誉。</w:t>
            </w:r>
          </w:p>
          <w:p w14:paraId="6EEF1D45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6642C717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8.海外扩张的策略？</w:t>
            </w:r>
          </w:p>
          <w:p w14:paraId="2ADCB445" w14:textId="45167C99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答：“国际化”是华荣的战略方向，华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荣海外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扩张坚持：公司投资，资源优化，海外布点，直销总控。目前，公司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已经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完善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了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迪拜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子公司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公司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在海外拓展的经营模式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，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并计划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未来5年内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在全球范围内复制迪拜公司的成功模式，不断完善全球营销网络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，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加快海外布局，提高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海外增速。目前由于疫情导致进度放缓，但不影响公司整体海外拓展的大方向。</w:t>
            </w:r>
          </w:p>
          <w:p w14:paraId="6FFC78A8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43ADAAB6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9.目前海外大约有多少停滞的项目订单？已经拿到订单，疫情缓和后能逐步交付的那种？</w:t>
            </w:r>
          </w:p>
          <w:p w14:paraId="787ACE52" w14:textId="317AF670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答：据不完全统计，截至到目前，</w:t>
            </w:r>
            <w:r w:rsidR="000E4568">
              <w:rPr>
                <w:rFonts w:ascii="宋体" w:hAnsi="宋体" w:hint="eastAsia"/>
                <w:sz w:val="24"/>
                <w:szCs w:val="24"/>
              </w:rPr>
              <w:t>尚有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已签合同</w:t>
            </w:r>
            <w:r w:rsidR="000E4568">
              <w:rPr>
                <w:rFonts w:ascii="宋体" w:hAnsi="宋体" w:hint="eastAsia"/>
                <w:sz w:val="24"/>
                <w:szCs w:val="24"/>
              </w:rPr>
              <w:t>、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已宣布中标而因为疫情暂缓执行的业务，这些业务主要集中在中东和阿盟地区，多个项目因为现场施工人员全部感染新冠而直接暂停项目，个别项目是投资方暂停项目追加投资。</w:t>
            </w:r>
          </w:p>
          <w:p w14:paraId="1A4A2790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29DC77E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10.请介绍一下公司的业务发展商模式和发展商布局情况？</w:t>
            </w:r>
          </w:p>
          <w:p w14:paraId="09EFF844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答：业务发展商模式本质是直销模式，业务发展商收集所在区域市场信息、客户潜在需求信息，精准定位客户，协助华荣对接客户，最终由华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荣直接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面对终端用户，对客户需求和痛点推出定制化的产品及解决方案，并直接与客户签订合同。因此，业务发展商无法脱离华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荣品牌独立展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业，业务发展商所有展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业信息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均同步在华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荣内部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管理系统，华荣对业务发展商的投标和业务推广情况均可实现可视化跟踪。</w:t>
            </w:r>
          </w:p>
          <w:p w14:paraId="5613F00A" w14:textId="30356952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业务发展商是独立</w:t>
            </w:r>
            <w:r w:rsidR="00125999" w:rsidRPr="00B678C5">
              <w:rPr>
                <w:rFonts w:ascii="宋体" w:hAnsi="宋体" w:hint="eastAsia"/>
                <w:sz w:val="24"/>
                <w:szCs w:val="24"/>
              </w:rPr>
              <w:t>主体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，自负盈亏，协助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与所辖区域的用户更多的建立合作。业务发展商要回款负责，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首先保障公司</w:t>
            </w:r>
            <w:r w:rsidR="00125999" w:rsidRPr="00B678C5">
              <w:rPr>
                <w:rFonts w:ascii="宋体" w:hAnsi="宋体" w:hint="eastAsia"/>
                <w:sz w:val="24"/>
                <w:szCs w:val="24"/>
              </w:rPr>
              <w:t>货款全部回笼才能提取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业务发展费，因此发展商会精选偿付能力强的优质客户，并配置足够多资源深耕客户，这也间接成为华荣的市场壁垒。</w:t>
            </w:r>
          </w:p>
          <w:p w14:paraId="55EC9755" w14:textId="0C164A94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业务发展商是华荣在发展过程中形成的一种独特的销售模式，如今拥有200多家业务发展商，已覆盖国内所有主要区域。华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荣建立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了完善的营销管理制度，采用统一的发展商管理制度进行管理。公司针对技术服务+市场拓展，带领业务发展商开展活动。公</w:t>
            </w: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司销售费用已经逐年降低，未来公司会加大对费用的管控，稳步降低销售费用率，提高公司净利率。</w:t>
            </w:r>
          </w:p>
          <w:p w14:paraId="707680B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2C1368A0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11.请介绍一下公司在照明行业发展历史和现状？</w:t>
            </w:r>
          </w:p>
          <w:p w14:paraId="7FA19C7C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答：华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荣专业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照明事业部从2006年9月成立，业务从零开始起步，连续五年保持高速增长，到2011年销售达4.3亿元,在专业照明领域异军突起，成为行业领军企业之一。</w:t>
            </w:r>
          </w:p>
          <w:p w14:paraId="75FD437E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2012年公司为统一销售模式，将专业照明事业部由大量引进销售人员的“人海战术”转换成业务发展商模式，当时因营销团队对业务发展商模式不理解，直接导致销售人员流失大半，留下的销售人员对新模式也持怀疑态度和抵触情绪，导致销售业务减半而陷入低迷。专业照明领导层通过各种措施，耗费大量的精力，用五年时间才将队伍稳定下来，扶持的部分业务发展商得到了较大的发展，才从根本上树立了整个业务发展商队伍的信心，当然也有部分业务发展商因不适应而被淘汰。</w:t>
            </w:r>
          </w:p>
          <w:p w14:paraId="1013421F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从2018年开始，专业照明事业部的工作重心重新回到新产品开发、质量服务提升、强化技术服务队伍和管理团队培养等工作上来，业务逐渐步入正轨。今年搬迁南浔后硬件设施有了质的提升,生产自动化、管理信息化推动产业升级。此前场地限制很多大型设备无法进场的问题也迎刃而解，产品线扩充可以让华荣照明产品满足更多应用场景的需求，拓展更多应用领域。渠道方面，经过近两三年的磨合、优化，业务发展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商展业能力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大幅增强，渠道建设进入收获期。</w:t>
            </w:r>
          </w:p>
          <w:p w14:paraId="4DDC50CA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81431B2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12.照明行业未来的增长趋势？</w:t>
            </w:r>
          </w:p>
          <w:p w14:paraId="59C34B1C" w14:textId="7CC373FB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答：照明的增长趋势预计较好，是公司未来一个比较大的增长点。公司将致力于渠道的改善和拓展，以及产品线的延伸。目前该产业已搬迁至新的生产基地，由全资子公司华荣照明有限公司运营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，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凭借已经调整磨合多年的优秀团队，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相信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华荣照明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业绩会有质的提升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。</w:t>
            </w:r>
            <w:r w:rsidR="001D6CEC" w:rsidRPr="00B678C5">
              <w:rPr>
                <w:rFonts w:ascii="宋体" w:hAnsi="宋体" w:hint="eastAsia"/>
                <w:sz w:val="24"/>
                <w:szCs w:val="24"/>
              </w:rPr>
              <w:t>今年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上半年受搬迁影响，</w:t>
            </w:r>
            <w:r w:rsidR="000A2090" w:rsidRPr="00B678C5">
              <w:rPr>
                <w:rFonts w:ascii="宋体" w:hAnsi="宋体" w:hint="eastAsia"/>
                <w:sz w:val="24"/>
                <w:szCs w:val="24"/>
              </w:rPr>
              <w:t>专业照明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增长速度超过30%</w:t>
            </w:r>
            <w:r w:rsidR="000A2090" w:rsidRPr="00B678C5">
              <w:rPr>
                <w:rFonts w:ascii="宋体" w:hAnsi="宋体" w:hint="eastAsia"/>
                <w:sz w:val="24"/>
                <w:szCs w:val="24"/>
              </w:rPr>
              <w:t>，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行业竞争格局仍然分散，华荣照明品牌知名度较高，未来会进入</w:t>
            </w: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快速增长期。</w:t>
            </w:r>
          </w:p>
          <w:p w14:paraId="34255C05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8480668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13.专业照明行业市场空间多大？公司业务涉及哪几个细分领域？每个细分领域市场规模多少亿？</w:t>
            </w:r>
          </w:p>
          <w:p w14:paraId="1E2A8E6A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目前缺乏产业上的统计信息，国信证券估算工业照明市场规模约700亿元。据内部测算，目前华荣照明产品涉及的细分领域市场容量约为70亿元，其中固定照明产品约45亿，移动照明产品约25亿。随着国家经济发展和社会进步，用户对产品品质和安全性要求会越来越高，许多普通照明产品用户会改用专业照明产品，专业照明的需求呈持续扩大趋势。</w:t>
            </w:r>
          </w:p>
          <w:p w14:paraId="61A628AF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3E73B9E9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14.照明板块壁垒相对较低，会不会存在业务发展商自己出去单干的情况？</w:t>
            </w:r>
          </w:p>
          <w:p w14:paraId="78AFEE8A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专业照明行业壁垒不算低，从行业和可比公司毛利率可以印证。华荣照明向用户提供的不仅仅是照明灯具，而是一整套照明解决方案，因此销售服务尤其是技术服务的重要性十分突出。华荣照明凭借高质量的产品和专业服务赢得了广大用户的认同，成为专业照明行业公认的明星品牌。</w:t>
            </w:r>
          </w:p>
          <w:p w14:paraId="105F2E9B" w14:textId="7145619C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华荣照明业务发展商模式的一个重要特点，就是技术服务是由公司来保障，业务发展商对公司有很大的依赖性。用户与华荣签订合同，即使业务发展商与公司终止合作，也很难带走客户，因为用户认同的是华荣照明品牌，不是业务发展商。</w:t>
            </w:r>
          </w:p>
          <w:p w14:paraId="2E8B9733" w14:textId="0DBEA06D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根据华荣照明相关政策，业绩突出的业务发展商获得的回报十分丰厚，业务发展商不会轻易改换门庭。如果业务发展商做不好业务，公司就会根据相关制度采取措施，将市场收回交由</w:t>
            </w:r>
            <w:r w:rsidR="000A2090" w:rsidRPr="00B678C5">
              <w:rPr>
                <w:rFonts w:ascii="宋体" w:hAnsi="宋体" w:hint="eastAsia"/>
                <w:sz w:val="24"/>
                <w:szCs w:val="24"/>
              </w:rPr>
              <w:t>其他团队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运作。</w:t>
            </w:r>
          </w:p>
          <w:p w14:paraId="3C343D6B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1772D477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15.净利率提升的原因？</w:t>
            </w:r>
          </w:p>
          <w:p w14:paraId="2B4D8ECE" w14:textId="081CD1ED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答：销售费用率考虑坏账同比下降1.8%，公司销售部门发生的费用增速低于收入增速，公司持续压缩传统领域的市场拓展费用。此外，今年材料成本上涨，公司提高了对业务发展商的考核</w:t>
            </w:r>
            <w:r w:rsidRPr="00B678C5">
              <w:rPr>
                <w:rFonts w:ascii="宋体" w:hAnsi="宋体" w:hint="eastAsia"/>
                <w:sz w:val="24"/>
                <w:szCs w:val="24"/>
              </w:rPr>
              <w:lastRenderedPageBreak/>
              <w:t>价格</w:t>
            </w:r>
            <w:r w:rsidR="000A2090" w:rsidRPr="00B678C5">
              <w:rPr>
                <w:rFonts w:ascii="宋体" w:hAnsi="宋体" w:hint="eastAsia"/>
                <w:sz w:val="24"/>
                <w:szCs w:val="24"/>
              </w:rPr>
              <w:t>、适当提高产品销售价格</w:t>
            </w:r>
            <w:r w:rsidRPr="00B678C5">
              <w:rPr>
                <w:rFonts w:ascii="宋体" w:hAnsi="宋体" w:hint="eastAsia"/>
                <w:sz w:val="24"/>
                <w:szCs w:val="24"/>
              </w:rPr>
              <w:t>作对冲。</w:t>
            </w:r>
          </w:p>
          <w:p w14:paraId="596C49CE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2A583CED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16.公司的毛利率较高，但净利率只有十几，为什么销售费用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率那么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高？</w:t>
            </w:r>
          </w:p>
          <w:p w14:paraId="162628D1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采用业务发展商模式本质也是直销模式，这个模式有其历史形成原因，也与公司业务特点相关，该模式在不断演变完善，公司觉得该模式有其优势，是公司的核心竞争力之一。与业务发展商模式相比，自建销售团队的直销模式净利率并没有优势，还需要花费大量精力用于内部管理，而且没有办法保证回款和现金流。</w:t>
            </w:r>
          </w:p>
          <w:p w14:paraId="50F88FCC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  <w:p w14:paraId="6AB175F3" w14:textId="77777777" w:rsidR="00613D0B" w:rsidRPr="00B678C5" w:rsidRDefault="00613D0B" w:rsidP="00613D0B">
            <w:pPr>
              <w:adjustRightInd w:val="0"/>
              <w:snapToGrid w:val="0"/>
              <w:spacing w:line="44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17.原材料采购在成本中的占比是怎样的？</w:t>
            </w:r>
          </w:p>
          <w:p w14:paraId="1372C76C" w14:textId="03A80450" w:rsidR="00335D61" w:rsidRPr="00B678C5" w:rsidRDefault="00613D0B" w:rsidP="00B9039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678C5">
              <w:rPr>
                <w:rFonts w:ascii="宋体" w:hAnsi="宋体" w:hint="eastAsia"/>
                <w:sz w:val="24"/>
                <w:szCs w:val="24"/>
              </w:rPr>
              <w:t>答：防爆电器作为总体测算，原材料部分大概占总成本的20%左右，单一原材料价格波动对成本</w:t>
            </w:r>
            <w:proofErr w:type="gramStart"/>
            <w:r w:rsidRPr="00B678C5">
              <w:rPr>
                <w:rFonts w:ascii="宋体" w:hAnsi="宋体" w:hint="eastAsia"/>
                <w:sz w:val="24"/>
                <w:szCs w:val="24"/>
              </w:rPr>
              <w:t>端影响</w:t>
            </w:r>
            <w:proofErr w:type="gramEnd"/>
            <w:r w:rsidRPr="00B678C5">
              <w:rPr>
                <w:rFonts w:ascii="宋体" w:hAnsi="宋体" w:hint="eastAsia"/>
                <w:sz w:val="24"/>
                <w:szCs w:val="24"/>
              </w:rPr>
              <w:t>有限。这么多年原材料价格都有波动，但公司毛利率比较稳定。</w:t>
            </w:r>
          </w:p>
        </w:tc>
      </w:tr>
      <w:tr w:rsidR="008747C7" w:rsidRPr="00B678C5" w14:paraId="4796CE49" w14:textId="77777777" w:rsidTr="00D53D08">
        <w:trPr>
          <w:trHeight w:val="90"/>
        </w:trPr>
        <w:tc>
          <w:tcPr>
            <w:tcW w:w="1526" w:type="dxa"/>
            <w:vAlign w:val="center"/>
          </w:tcPr>
          <w:p w14:paraId="040EF3C6" w14:textId="18253D9B" w:rsidR="008747C7" w:rsidRPr="00B678C5" w:rsidRDefault="008747C7" w:rsidP="00D53D08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96" w:type="dxa"/>
            <w:vAlign w:val="center"/>
          </w:tcPr>
          <w:p w14:paraId="4CAA980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无。</w:t>
            </w:r>
          </w:p>
        </w:tc>
      </w:tr>
      <w:tr w:rsidR="008747C7" w14:paraId="28F87AC2" w14:textId="77777777" w:rsidTr="00D53D08">
        <w:tc>
          <w:tcPr>
            <w:tcW w:w="1526" w:type="dxa"/>
            <w:vAlign w:val="center"/>
          </w:tcPr>
          <w:p w14:paraId="7F749185" w14:textId="77777777" w:rsidR="008747C7" w:rsidRPr="00B678C5" w:rsidRDefault="008747C7">
            <w:pPr>
              <w:pStyle w:val="New0"/>
              <w:spacing w:line="480" w:lineRule="atLeast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/>
                <w:bCs/>
                <w:iCs/>
                <w:sz w:val="24"/>
              </w:rPr>
              <w:t>日期</w:t>
            </w:r>
          </w:p>
        </w:tc>
        <w:tc>
          <w:tcPr>
            <w:tcW w:w="6996" w:type="dxa"/>
            <w:vAlign w:val="center"/>
          </w:tcPr>
          <w:p w14:paraId="35FF94B4" w14:textId="317C2FC8" w:rsidR="008747C7" w:rsidRDefault="008747C7" w:rsidP="000C5F86">
            <w:pPr>
              <w:pStyle w:val="New0"/>
              <w:spacing w:line="48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B678C5">
              <w:rPr>
                <w:rFonts w:ascii="Times New Roman" w:hAnsi="Times New Roman"/>
                <w:bCs/>
                <w:iCs/>
                <w:sz w:val="24"/>
              </w:rPr>
              <w:t>2021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年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8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月</w:t>
            </w:r>
            <w:r w:rsidRPr="00B678C5">
              <w:rPr>
                <w:rFonts w:ascii="Times New Roman" w:hAnsi="Times New Roman" w:hint="eastAsia"/>
                <w:bCs/>
                <w:iCs/>
                <w:sz w:val="24"/>
              </w:rPr>
              <w:t>30</w:t>
            </w:r>
            <w:r w:rsidRPr="00B678C5">
              <w:rPr>
                <w:rFonts w:ascii="Times New Roman" w:hAnsi="Times New Roman"/>
                <w:bCs/>
                <w:iCs/>
                <w:sz w:val="24"/>
              </w:rPr>
              <w:t>日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</w:tr>
    </w:tbl>
    <w:p w14:paraId="5F8A353F" w14:textId="77777777" w:rsidR="00777389" w:rsidRDefault="00777389">
      <w:pPr>
        <w:rPr>
          <w:rFonts w:ascii="Times New Roman" w:hAnsi="Times New Roman"/>
        </w:rPr>
      </w:pPr>
    </w:p>
    <w:p w14:paraId="5429AABF" w14:textId="28043D16" w:rsidR="00777389" w:rsidRDefault="00777389">
      <w:pPr>
        <w:rPr>
          <w:rFonts w:ascii="Times New Roman" w:hAnsi="Times New Roman"/>
          <w:sz w:val="28"/>
          <w:szCs w:val="28"/>
        </w:rPr>
      </w:pPr>
    </w:p>
    <w:sectPr w:rsidR="00777389" w:rsidSect="003B1E8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9D6F" w14:textId="77777777" w:rsidR="00B83BFB" w:rsidRDefault="00B83BFB" w:rsidP="00A8422C">
      <w:r>
        <w:separator/>
      </w:r>
    </w:p>
  </w:endnote>
  <w:endnote w:type="continuationSeparator" w:id="0">
    <w:p w14:paraId="0DA0C0D1" w14:textId="77777777" w:rsidR="00B83BFB" w:rsidRDefault="00B83BFB" w:rsidP="00A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4EAB" w14:textId="77777777" w:rsidR="00B83BFB" w:rsidRDefault="00B83BFB" w:rsidP="00A8422C">
      <w:r>
        <w:separator/>
      </w:r>
    </w:p>
  </w:footnote>
  <w:footnote w:type="continuationSeparator" w:id="0">
    <w:p w14:paraId="439CA0BF" w14:textId="77777777" w:rsidR="00B83BFB" w:rsidRDefault="00B83BFB" w:rsidP="00A8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52"/>
    <w:multiLevelType w:val="hybridMultilevel"/>
    <w:tmpl w:val="9A868F90"/>
    <w:lvl w:ilvl="0" w:tplc="61766F9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43780"/>
    <w:multiLevelType w:val="hybridMultilevel"/>
    <w:tmpl w:val="328213FE"/>
    <w:lvl w:ilvl="0" w:tplc="FE7439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62031"/>
    <w:multiLevelType w:val="hybridMultilevel"/>
    <w:tmpl w:val="3C4E096A"/>
    <w:lvl w:ilvl="0" w:tplc="A5E49D9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EB3757"/>
    <w:multiLevelType w:val="hybridMultilevel"/>
    <w:tmpl w:val="49F8377E"/>
    <w:lvl w:ilvl="0" w:tplc="B82E51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62979"/>
    <w:multiLevelType w:val="hybridMultilevel"/>
    <w:tmpl w:val="3C388F6E"/>
    <w:lvl w:ilvl="0" w:tplc="2E2A4AD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EE1BB1"/>
    <w:multiLevelType w:val="hybridMultilevel"/>
    <w:tmpl w:val="BCC2CF82"/>
    <w:lvl w:ilvl="0" w:tplc="97F4F3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E10"/>
    <w:multiLevelType w:val="hybridMultilevel"/>
    <w:tmpl w:val="89BA1524"/>
    <w:lvl w:ilvl="0" w:tplc="A05C8B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9F1550"/>
    <w:multiLevelType w:val="hybridMultilevel"/>
    <w:tmpl w:val="FC4697F4"/>
    <w:lvl w:ilvl="0" w:tplc="3416B3A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972996"/>
    <w:multiLevelType w:val="hybridMultilevel"/>
    <w:tmpl w:val="37ECCE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912B81"/>
    <w:multiLevelType w:val="hybridMultilevel"/>
    <w:tmpl w:val="0DB08F2C"/>
    <w:lvl w:ilvl="0" w:tplc="566CC7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56F0374"/>
    <w:multiLevelType w:val="hybridMultilevel"/>
    <w:tmpl w:val="93EA02DC"/>
    <w:lvl w:ilvl="0" w:tplc="52167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EE2255"/>
    <w:multiLevelType w:val="hybridMultilevel"/>
    <w:tmpl w:val="F28EB74C"/>
    <w:lvl w:ilvl="0" w:tplc="55B6AE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12"/>
    <w:rsid w:val="00004648"/>
    <w:rsid w:val="0000545F"/>
    <w:rsid w:val="00005F34"/>
    <w:rsid w:val="00011B56"/>
    <w:rsid w:val="00015A23"/>
    <w:rsid w:val="000219D8"/>
    <w:rsid w:val="00027CFB"/>
    <w:rsid w:val="00035858"/>
    <w:rsid w:val="000435DF"/>
    <w:rsid w:val="000444DB"/>
    <w:rsid w:val="00044C8F"/>
    <w:rsid w:val="0004575B"/>
    <w:rsid w:val="00046BEC"/>
    <w:rsid w:val="00046F82"/>
    <w:rsid w:val="000471F3"/>
    <w:rsid w:val="000524D9"/>
    <w:rsid w:val="000562D3"/>
    <w:rsid w:val="00064578"/>
    <w:rsid w:val="00064C35"/>
    <w:rsid w:val="000655F7"/>
    <w:rsid w:val="00065610"/>
    <w:rsid w:val="000665E5"/>
    <w:rsid w:val="00066D61"/>
    <w:rsid w:val="000671EE"/>
    <w:rsid w:val="0007375B"/>
    <w:rsid w:val="00073DE1"/>
    <w:rsid w:val="00075F96"/>
    <w:rsid w:val="00081199"/>
    <w:rsid w:val="00081E5A"/>
    <w:rsid w:val="00082FD5"/>
    <w:rsid w:val="0008335B"/>
    <w:rsid w:val="00083362"/>
    <w:rsid w:val="000847E9"/>
    <w:rsid w:val="00084BBF"/>
    <w:rsid w:val="0009015C"/>
    <w:rsid w:val="00091315"/>
    <w:rsid w:val="0009172F"/>
    <w:rsid w:val="000929CE"/>
    <w:rsid w:val="000932F4"/>
    <w:rsid w:val="00095B9F"/>
    <w:rsid w:val="000A196B"/>
    <w:rsid w:val="000A2090"/>
    <w:rsid w:val="000A2462"/>
    <w:rsid w:val="000A3DE4"/>
    <w:rsid w:val="000A3EB6"/>
    <w:rsid w:val="000A3F63"/>
    <w:rsid w:val="000A49C6"/>
    <w:rsid w:val="000A4F7B"/>
    <w:rsid w:val="000A67CA"/>
    <w:rsid w:val="000A7559"/>
    <w:rsid w:val="000A7B7C"/>
    <w:rsid w:val="000B03B7"/>
    <w:rsid w:val="000B283F"/>
    <w:rsid w:val="000B3336"/>
    <w:rsid w:val="000B49A2"/>
    <w:rsid w:val="000B5186"/>
    <w:rsid w:val="000B6572"/>
    <w:rsid w:val="000C35E8"/>
    <w:rsid w:val="000C3C31"/>
    <w:rsid w:val="000C5960"/>
    <w:rsid w:val="000C5F86"/>
    <w:rsid w:val="000D6C6F"/>
    <w:rsid w:val="000E0B57"/>
    <w:rsid w:val="000E1382"/>
    <w:rsid w:val="000E36B8"/>
    <w:rsid w:val="000E4568"/>
    <w:rsid w:val="000E4AB0"/>
    <w:rsid w:val="000E4B52"/>
    <w:rsid w:val="000E5D9F"/>
    <w:rsid w:val="000E748D"/>
    <w:rsid w:val="000F0CEE"/>
    <w:rsid w:val="000F39AA"/>
    <w:rsid w:val="000F5833"/>
    <w:rsid w:val="000F5898"/>
    <w:rsid w:val="000F630E"/>
    <w:rsid w:val="001007DE"/>
    <w:rsid w:val="00101F77"/>
    <w:rsid w:val="00104AFE"/>
    <w:rsid w:val="00107080"/>
    <w:rsid w:val="001078CF"/>
    <w:rsid w:val="00113A93"/>
    <w:rsid w:val="00117038"/>
    <w:rsid w:val="001208CD"/>
    <w:rsid w:val="00120A49"/>
    <w:rsid w:val="00120C90"/>
    <w:rsid w:val="00125999"/>
    <w:rsid w:val="001301BE"/>
    <w:rsid w:val="00140F5B"/>
    <w:rsid w:val="00142BBA"/>
    <w:rsid w:val="00144F2F"/>
    <w:rsid w:val="00145E35"/>
    <w:rsid w:val="00146BB3"/>
    <w:rsid w:val="00153016"/>
    <w:rsid w:val="00157D5F"/>
    <w:rsid w:val="00157FF0"/>
    <w:rsid w:val="00162D41"/>
    <w:rsid w:val="00163358"/>
    <w:rsid w:val="001701D4"/>
    <w:rsid w:val="001704FA"/>
    <w:rsid w:val="00172754"/>
    <w:rsid w:val="00172A27"/>
    <w:rsid w:val="00174B45"/>
    <w:rsid w:val="001754AA"/>
    <w:rsid w:val="00175856"/>
    <w:rsid w:val="00175A06"/>
    <w:rsid w:val="00175C78"/>
    <w:rsid w:val="001837BB"/>
    <w:rsid w:val="00186E63"/>
    <w:rsid w:val="0018777D"/>
    <w:rsid w:val="00187F6D"/>
    <w:rsid w:val="00187FD9"/>
    <w:rsid w:val="001930F7"/>
    <w:rsid w:val="00194DD0"/>
    <w:rsid w:val="00195157"/>
    <w:rsid w:val="00195EF5"/>
    <w:rsid w:val="001A0B32"/>
    <w:rsid w:val="001A0EB7"/>
    <w:rsid w:val="001A5BA9"/>
    <w:rsid w:val="001A71CA"/>
    <w:rsid w:val="001B0407"/>
    <w:rsid w:val="001B3AA3"/>
    <w:rsid w:val="001B43A7"/>
    <w:rsid w:val="001B648D"/>
    <w:rsid w:val="001B78C1"/>
    <w:rsid w:val="001C1361"/>
    <w:rsid w:val="001C1C9B"/>
    <w:rsid w:val="001C391D"/>
    <w:rsid w:val="001C6196"/>
    <w:rsid w:val="001D12B3"/>
    <w:rsid w:val="001D2228"/>
    <w:rsid w:val="001D3A1F"/>
    <w:rsid w:val="001D6CEC"/>
    <w:rsid w:val="001E221A"/>
    <w:rsid w:val="001E339C"/>
    <w:rsid w:val="001E7E1E"/>
    <w:rsid w:val="001F0B1C"/>
    <w:rsid w:val="001F0F72"/>
    <w:rsid w:val="00200440"/>
    <w:rsid w:val="00202A0A"/>
    <w:rsid w:val="00203B18"/>
    <w:rsid w:val="002114B9"/>
    <w:rsid w:val="00211BC1"/>
    <w:rsid w:val="00217DEE"/>
    <w:rsid w:val="00221855"/>
    <w:rsid w:val="00222620"/>
    <w:rsid w:val="00227F31"/>
    <w:rsid w:val="00230685"/>
    <w:rsid w:val="002352B7"/>
    <w:rsid w:val="0024780A"/>
    <w:rsid w:val="002516AB"/>
    <w:rsid w:val="00253F1E"/>
    <w:rsid w:val="00255343"/>
    <w:rsid w:val="0025535C"/>
    <w:rsid w:val="00255A23"/>
    <w:rsid w:val="00256011"/>
    <w:rsid w:val="00257B87"/>
    <w:rsid w:val="00262981"/>
    <w:rsid w:val="00264863"/>
    <w:rsid w:val="0026491A"/>
    <w:rsid w:val="002708BA"/>
    <w:rsid w:val="0027179B"/>
    <w:rsid w:val="00271EC0"/>
    <w:rsid w:val="00281F96"/>
    <w:rsid w:val="002839DB"/>
    <w:rsid w:val="00283DF9"/>
    <w:rsid w:val="00284D48"/>
    <w:rsid w:val="00285D10"/>
    <w:rsid w:val="00287F17"/>
    <w:rsid w:val="00290E8A"/>
    <w:rsid w:val="0029120A"/>
    <w:rsid w:val="00292558"/>
    <w:rsid w:val="00293853"/>
    <w:rsid w:val="0029563C"/>
    <w:rsid w:val="002960B5"/>
    <w:rsid w:val="002A11B3"/>
    <w:rsid w:val="002A3CFD"/>
    <w:rsid w:val="002A6858"/>
    <w:rsid w:val="002B1B58"/>
    <w:rsid w:val="002B1C71"/>
    <w:rsid w:val="002B5050"/>
    <w:rsid w:val="002C06DE"/>
    <w:rsid w:val="002C52C4"/>
    <w:rsid w:val="002C6D8E"/>
    <w:rsid w:val="002D17A3"/>
    <w:rsid w:val="002D21A5"/>
    <w:rsid w:val="002D6A9E"/>
    <w:rsid w:val="002D6F94"/>
    <w:rsid w:val="002E1931"/>
    <w:rsid w:val="002E5083"/>
    <w:rsid w:val="002F1967"/>
    <w:rsid w:val="002F1EB2"/>
    <w:rsid w:val="002F2FEB"/>
    <w:rsid w:val="002F4253"/>
    <w:rsid w:val="002F6A57"/>
    <w:rsid w:val="002F6E94"/>
    <w:rsid w:val="00301F9D"/>
    <w:rsid w:val="00302F14"/>
    <w:rsid w:val="00311254"/>
    <w:rsid w:val="00315251"/>
    <w:rsid w:val="00317C9D"/>
    <w:rsid w:val="00321961"/>
    <w:rsid w:val="00324755"/>
    <w:rsid w:val="00330563"/>
    <w:rsid w:val="003327BC"/>
    <w:rsid w:val="00332DA9"/>
    <w:rsid w:val="00335D61"/>
    <w:rsid w:val="0034056B"/>
    <w:rsid w:val="0034084A"/>
    <w:rsid w:val="003460FD"/>
    <w:rsid w:val="0035146B"/>
    <w:rsid w:val="00352492"/>
    <w:rsid w:val="00352FF2"/>
    <w:rsid w:val="00354477"/>
    <w:rsid w:val="003605C0"/>
    <w:rsid w:val="0036363C"/>
    <w:rsid w:val="00363B36"/>
    <w:rsid w:val="00364277"/>
    <w:rsid w:val="00364D56"/>
    <w:rsid w:val="00365F25"/>
    <w:rsid w:val="00370794"/>
    <w:rsid w:val="00370EE8"/>
    <w:rsid w:val="003763A6"/>
    <w:rsid w:val="00377D66"/>
    <w:rsid w:val="0038036F"/>
    <w:rsid w:val="0038101D"/>
    <w:rsid w:val="00382639"/>
    <w:rsid w:val="003856B5"/>
    <w:rsid w:val="00395CD8"/>
    <w:rsid w:val="003A1123"/>
    <w:rsid w:val="003A2692"/>
    <w:rsid w:val="003B0940"/>
    <w:rsid w:val="003B1C70"/>
    <w:rsid w:val="003B1E88"/>
    <w:rsid w:val="003B2DE3"/>
    <w:rsid w:val="003B461E"/>
    <w:rsid w:val="003B6C95"/>
    <w:rsid w:val="003C2B04"/>
    <w:rsid w:val="003D7E96"/>
    <w:rsid w:val="003E11A9"/>
    <w:rsid w:val="003E65E9"/>
    <w:rsid w:val="003F1F28"/>
    <w:rsid w:val="003F44D1"/>
    <w:rsid w:val="00401C1A"/>
    <w:rsid w:val="004037CF"/>
    <w:rsid w:val="004063B5"/>
    <w:rsid w:val="004151D8"/>
    <w:rsid w:val="0041666B"/>
    <w:rsid w:val="00422B2B"/>
    <w:rsid w:val="00425CFF"/>
    <w:rsid w:val="00426D04"/>
    <w:rsid w:val="00433EBE"/>
    <w:rsid w:val="00434764"/>
    <w:rsid w:val="00434A19"/>
    <w:rsid w:val="004351C7"/>
    <w:rsid w:val="00437C45"/>
    <w:rsid w:val="004401FC"/>
    <w:rsid w:val="00442BE2"/>
    <w:rsid w:val="00442C20"/>
    <w:rsid w:val="004449C1"/>
    <w:rsid w:val="004455B9"/>
    <w:rsid w:val="004526E5"/>
    <w:rsid w:val="00462093"/>
    <w:rsid w:val="004650B8"/>
    <w:rsid w:val="00470B4C"/>
    <w:rsid w:val="004713AF"/>
    <w:rsid w:val="0047399C"/>
    <w:rsid w:val="00473E5B"/>
    <w:rsid w:val="0047756C"/>
    <w:rsid w:val="00481BE7"/>
    <w:rsid w:val="00485B80"/>
    <w:rsid w:val="00486DE8"/>
    <w:rsid w:val="00491D7D"/>
    <w:rsid w:val="004A0F25"/>
    <w:rsid w:val="004A0F89"/>
    <w:rsid w:val="004A16CF"/>
    <w:rsid w:val="004A28B5"/>
    <w:rsid w:val="004A4585"/>
    <w:rsid w:val="004A69C2"/>
    <w:rsid w:val="004B24AB"/>
    <w:rsid w:val="004B52D6"/>
    <w:rsid w:val="004B59F2"/>
    <w:rsid w:val="004B670E"/>
    <w:rsid w:val="004B7F05"/>
    <w:rsid w:val="004C5D1C"/>
    <w:rsid w:val="004C5EAF"/>
    <w:rsid w:val="004D4079"/>
    <w:rsid w:val="004D505B"/>
    <w:rsid w:val="004D7403"/>
    <w:rsid w:val="004E1072"/>
    <w:rsid w:val="004E42E8"/>
    <w:rsid w:val="004E45E0"/>
    <w:rsid w:val="004E6435"/>
    <w:rsid w:val="004F3C47"/>
    <w:rsid w:val="004F7A76"/>
    <w:rsid w:val="005006A9"/>
    <w:rsid w:val="00500EDF"/>
    <w:rsid w:val="00501539"/>
    <w:rsid w:val="0050396F"/>
    <w:rsid w:val="005041FA"/>
    <w:rsid w:val="0050510A"/>
    <w:rsid w:val="00506993"/>
    <w:rsid w:val="0051221B"/>
    <w:rsid w:val="00513958"/>
    <w:rsid w:val="00516D7C"/>
    <w:rsid w:val="00517AB6"/>
    <w:rsid w:val="00520E3C"/>
    <w:rsid w:val="00521684"/>
    <w:rsid w:val="005218D4"/>
    <w:rsid w:val="00522240"/>
    <w:rsid w:val="00523408"/>
    <w:rsid w:val="00523E9A"/>
    <w:rsid w:val="005253FE"/>
    <w:rsid w:val="005306FC"/>
    <w:rsid w:val="00532A07"/>
    <w:rsid w:val="005339C5"/>
    <w:rsid w:val="005352E2"/>
    <w:rsid w:val="00543E6F"/>
    <w:rsid w:val="0054501F"/>
    <w:rsid w:val="00545AE6"/>
    <w:rsid w:val="00545E53"/>
    <w:rsid w:val="00546DF6"/>
    <w:rsid w:val="0054749E"/>
    <w:rsid w:val="00547E98"/>
    <w:rsid w:val="00550187"/>
    <w:rsid w:val="005515F1"/>
    <w:rsid w:val="00560DB3"/>
    <w:rsid w:val="005628BB"/>
    <w:rsid w:val="0056431A"/>
    <w:rsid w:val="00566BE9"/>
    <w:rsid w:val="00571998"/>
    <w:rsid w:val="00572158"/>
    <w:rsid w:val="00573D63"/>
    <w:rsid w:val="005806A2"/>
    <w:rsid w:val="00581340"/>
    <w:rsid w:val="00581E0F"/>
    <w:rsid w:val="0059693A"/>
    <w:rsid w:val="005B0BD4"/>
    <w:rsid w:val="005B4A0E"/>
    <w:rsid w:val="005B561E"/>
    <w:rsid w:val="005B6ED2"/>
    <w:rsid w:val="005C2ADB"/>
    <w:rsid w:val="005D27B1"/>
    <w:rsid w:val="005D27F7"/>
    <w:rsid w:val="005D6441"/>
    <w:rsid w:val="005D6720"/>
    <w:rsid w:val="005E0DEA"/>
    <w:rsid w:val="005E1B72"/>
    <w:rsid w:val="005F1EEC"/>
    <w:rsid w:val="005F386B"/>
    <w:rsid w:val="005F478A"/>
    <w:rsid w:val="005F5E13"/>
    <w:rsid w:val="006022CF"/>
    <w:rsid w:val="006033B3"/>
    <w:rsid w:val="006079D1"/>
    <w:rsid w:val="00612A62"/>
    <w:rsid w:val="00613D0B"/>
    <w:rsid w:val="0061773E"/>
    <w:rsid w:val="006204F0"/>
    <w:rsid w:val="00623378"/>
    <w:rsid w:val="00626A02"/>
    <w:rsid w:val="00627F2A"/>
    <w:rsid w:val="00631A72"/>
    <w:rsid w:val="00631B53"/>
    <w:rsid w:val="006328E3"/>
    <w:rsid w:val="00636DA5"/>
    <w:rsid w:val="0064691E"/>
    <w:rsid w:val="00650152"/>
    <w:rsid w:val="006507F5"/>
    <w:rsid w:val="006517F7"/>
    <w:rsid w:val="006518CC"/>
    <w:rsid w:val="00655E40"/>
    <w:rsid w:val="0066034A"/>
    <w:rsid w:val="00664A34"/>
    <w:rsid w:val="00665F0D"/>
    <w:rsid w:val="006676CF"/>
    <w:rsid w:val="006678A2"/>
    <w:rsid w:val="00671B1B"/>
    <w:rsid w:val="00677BFE"/>
    <w:rsid w:val="0068041C"/>
    <w:rsid w:val="006804CA"/>
    <w:rsid w:val="00680CE1"/>
    <w:rsid w:val="006816AE"/>
    <w:rsid w:val="00685887"/>
    <w:rsid w:val="006860FE"/>
    <w:rsid w:val="00692B6C"/>
    <w:rsid w:val="006932EC"/>
    <w:rsid w:val="00693632"/>
    <w:rsid w:val="00694563"/>
    <w:rsid w:val="00694691"/>
    <w:rsid w:val="006A058D"/>
    <w:rsid w:val="006A101F"/>
    <w:rsid w:val="006A6794"/>
    <w:rsid w:val="006A742C"/>
    <w:rsid w:val="006B0D04"/>
    <w:rsid w:val="006B18FF"/>
    <w:rsid w:val="006B442D"/>
    <w:rsid w:val="006B6E82"/>
    <w:rsid w:val="006C2801"/>
    <w:rsid w:val="006D297A"/>
    <w:rsid w:val="006D2A6F"/>
    <w:rsid w:val="006D5B33"/>
    <w:rsid w:val="006E1AF5"/>
    <w:rsid w:val="006E2445"/>
    <w:rsid w:val="006E79CB"/>
    <w:rsid w:val="006E7ED0"/>
    <w:rsid w:val="006F1B07"/>
    <w:rsid w:val="006F3278"/>
    <w:rsid w:val="006F39F3"/>
    <w:rsid w:val="006F6893"/>
    <w:rsid w:val="006F6F48"/>
    <w:rsid w:val="007051E9"/>
    <w:rsid w:val="007077A0"/>
    <w:rsid w:val="00716360"/>
    <w:rsid w:val="0071651F"/>
    <w:rsid w:val="00716A4D"/>
    <w:rsid w:val="00716D41"/>
    <w:rsid w:val="00720BB3"/>
    <w:rsid w:val="0072233A"/>
    <w:rsid w:val="00724EF3"/>
    <w:rsid w:val="00725360"/>
    <w:rsid w:val="00736364"/>
    <w:rsid w:val="007401B5"/>
    <w:rsid w:val="0074076E"/>
    <w:rsid w:val="007422D0"/>
    <w:rsid w:val="00742EB0"/>
    <w:rsid w:val="007440DA"/>
    <w:rsid w:val="0075103C"/>
    <w:rsid w:val="0075112A"/>
    <w:rsid w:val="00751877"/>
    <w:rsid w:val="00751D95"/>
    <w:rsid w:val="007617B1"/>
    <w:rsid w:val="007666BF"/>
    <w:rsid w:val="007676BD"/>
    <w:rsid w:val="00770A79"/>
    <w:rsid w:val="00777389"/>
    <w:rsid w:val="00787994"/>
    <w:rsid w:val="00790765"/>
    <w:rsid w:val="00790B10"/>
    <w:rsid w:val="0079731C"/>
    <w:rsid w:val="00797359"/>
    <w:rsid w:val="00797E7A"/>
    <w:rsid w:val="007A5054"/>
    <w:rsid w:val="007A6553"/>
    <w:rsid w:val="007A7B51"/>
    <w:rsid w:val="007B1E30"/>
    <w:rsid w:val="007B26D6"/>
    <w:rsid w:val="007B395B"/>
    <w:rsid w:val="007B6D06"/>
    <w:rsid w:val="007C6F63"/>
    <w:rsid w:val="007C706E"/>
    <w:rsid w:val="007C744F"/>
    <w:rsid w:val="007D0021"/>
    <w:rsid w:val="007D134F"/>
    <w:rsid w:val="007D32FF"/>
    <w:rsid w:val="007D34CF"/>
    <w:rsid w:val="007D4582"/>
    <w:rsid w:val="007E027E"/>
    <w:rsid w:val="007E1E61"/>
    <w:rsid w:val="007E66C2"/>
    <w:rsid w:val="007F303C"/>
    <w:rsid w:val="007F40D3"/>
    <w:rsid w:val="007F45AB"/>
    <w:rsid w:val="007F69AF"/>
    <w:rsid w:val="007F77BC"/>
    <w:rsid w:val="00800C15"/>
    <w:rsid w:val="0081515F"/>
    <w:rsid w:val="00817C2F"/>
    <w:rsid w:val="00817FC4"/>
    <w:rsid w:val="008253B6"/>
    <w:rsid w:val="0082746A"/>
    <w:rsid w:val="00827E2F"/>
    <w:rsid w:val="00831B4D"/>
    <w:rsid w:val="00833A48"/>
    <w:rsid w:val="00841323"/>
    <w:rsid w:val="00842D2B"/>
    <w:rsid w:val="00842E7C"/>
    <w:rsid w:val="00855811"/>
    <w:rsid w:val="008571F2"/>
    <w:rsid w:val="008572A8"/>
    <w:rsid w:val="00857447"/>
    <w:rsid w:val="00860592"/>
    <w:rsid w:val="00862E72"/>
    <w:rsid w:val="00863024"/>
    <w:rsid w:val="008647C8"/>
    <w:rsid w:val="0086517C"/>
    <w:rsid w:val="008664D6"/>
    <w:rsid w:val="00873A53"/>
    <w:rsid w:val="00873C56"/>
    <w:rsid w:val="008747C7"/>
    <w:rsid w:val="00877C21"/>
    <w:rsid w:val="008865B0"/>
    <w:rsid w:val="008943CC"/>
    <w:rsid w:val="008A22C3"/>
    <w:rsid w:val="008B0CD1"/>
    <w:rsid w:val="008B1427"/>
    <w:rsid w:val="008B3707"/>
    <w:rsid w:val="008B7892"/>
    <w:rsid w:val="008C3247"/>
    <w:rsid w:val="008C71D8"/>
    <w:rsid w:val="008D3EB3"/>
    <w:rsid w:val="008D5EA6"/>
    <w:rsid w:val="008D6DA4"/>
    <w:rsid w:val="008D7DC5"/>
    <w:rsid w:val="008E7343"/>
    <w:rsid w:val="008F5580"/>
    <w:rsid w:val="008F5D94"/>
    <w:rsid w:val="008F658F"/>
    <w:rsid w:val="0090010C"/>
    <w:rsid w:val="00907D9D"/>
    <w:rsid w:val="009106B7"/>
    <w:rsid w:val="00921A47"/>
    <w:rsid w:val="009245A1"/>
    <w:rsid w:val="00924F44"/>
    <w:rsid w:val="00926FBB"/>
    <w:rsid w:val="00927874"/>
    <w:rsid w:val="00930C74"/>
    <w:rsid w:val="00932F1B"/>
    <w:rsid w:val="009379B1"/>
    <w:rsid w:val="00945686"/>
    <w:rsid w:val="0094630A"/>
    <w:rsid w:val="00951E6B"/>
    <w:rsid w:val="00954CF3"/>
    <w:rsid w:val="009561D9"/>
    <w:rsid w:val="0096770E"/>
    <w:rsid w:val="00981555"/>
    <w:rsid w:val="009832E1"/>
    <w:rsid w:val="0098341A"/>
    <w:rsid w:val="00993DFE"/>
    <w:rsid w:val="00995929"/>
    <w:rsid w:val="009A2DCB"/>
    <w:rsid w:val="009A3003"/>
    <w:rsid w:val="009B07EF"/>
    <w:rsid w:val="009B2F0F"/>
    <w:rsid w:val="009C2B34"/>
    <w:rsid w:val="009D0955"/>
    <w:rsid w:val="009D18C1"/>
    <w:rsid w:val="009D35BB"/>
    <w:rsid w:val="009E4843"/>
    <w:rsid w:val="009E65EA"/>
    <w:rsid w:val="009F330D"/>
    <w:rsid w:val="009F58F0"/>
    <w:rsid w:val="00A02FA6"/>
    <w:rsid w:val="00A037A3"/>
    <w:rsid w:val="00A0388D"/>
    <w:rsid w:val="00A053AB"/>
    <w:rsid w:val="00A12AE9"/>
    <w:rsid w:val="00A16B22"/>
    <w:rsid w:val="00A1788A"/>
    <w:rsid w:val="00A20319"/>
    <w:rsid w:val="00A21AFF"/>
    <w:rsid w:val="00A22E92"/>
    <w:rsid w:val="00A27A0A"/>
    <w:rsid w:val="00A3138C"/>
    <w:rsid w:val="00A316F0"/>
    <w:rsid w:val="00A344AD"/>
    <w:rsid w:val="00A37647"/>
    <w:rsid w:val="00A37714"/>
    <w:rsid w:val="00A400EE"/>
    <w:rsid w:val="00A4743A"/>
    <w:rsid w:val="00A50597"/>
    <w:rsid w:val="00A5200A"/>
    <w:rsid w:val="00A537B6"/>
    <w:rsid w:val="00A53BE8"/>
    <w:rsid w:val="00A561C2"/>
    <w:rsid w:val="00A60F84"/>
    <w:rsid w:val="00A70D1A"/>
    <w:rsid w:val="00A73F17"/>
    <w:rsid w:val="00A747A0"/>
    <w:rsid w:val="00A75D44"/>
    <w:rsid w:val="00A77EE4"/>
    <w:rsid w:val="00A837A5"/>
    <w:rsid w:val="00A8422C"/>
    <w:rsid w:val="00A84DD6"/>
    <w:rsid w:val="00A8742A"/>
    <w:rsid w:val="00A90152"/>
    <w:rsid w:val="00A923B6"/>
    <w:rsid w:val="00A9369A"/>
    <w:rsid w:val="00A940BB"/>
    <w:rsid w:val="00A97D04"/>
    <w:rsid w:val="00AA30C2"/>
    <w:rsid w:val="00AA4ADA"/>
    <w:rsid w:val="00AA56E5"/>
    <w:rsid w:val="00AA5792"/>
    <w:rsid w:val="00AB1E85"/>
    <w:rsid w:val="00AB267A"/>
    <w:rsid w:val="00AC1CA6"/>
    <w:rsid w:val="00AC219F"/>
    <w:rsid w:val="00AC2DE1"/>
    <w:rsid w:val="00AC3F6C"/>
    <w:rsid w:val="00AC6CDF"/>
    <w:rsid w:val="00AD51D3"/>
    <w:rsid w:val="00AE2326"/>
    <w:rsid w:val="00AE2ACC"/>
    <w:rsid w:val="00AE2BF3"/>
    <w:rsid w:val="00AE3482"/>
    <w:rsid w:val="00AE56EF"/>
    <w:rsid w:val="00AE7422"/>
    <w:rsid w:val="00AF18E9"/>
    <w:rsid w:val="00AF4C98"/>
    <w:rsid w:val="00B040D7"/>
    <w:rsid w:val="00B07592"/>
    <w:rsid w:val="00B12F9F"/>
    <w:rsid w:val="00B24C4A"/>
    <w:rsid w:val="00B30A6F"/>
    <w:rsid w:val="00B31C9A"/>
    <w:rsid w:val="00B36A91"/>
    <w:rsid w:val="00B51C7F"/>
    <w:rsid w:val="00B54A56"/>
    <w:rsid w:val="00B54EA1"/>
    <w:rsid w:val="00B551DA"/>
    <w:rsid w:val="00B56ED0"/>
    <w:rsid w:val="00B61798"/>
    <w:rsid w:val="00B6626C"/>
    <w:rsid w:val="00B669D9"/>
    <w:rsid w:val="00B67532"/>
    <w:rsid w:val="00B678C5"/>
    <w:rsid w:val="00B70B5C"/>
    <w:rsid w:val="00B70DA7"/>
    <w:rsid w:val="00B719D1"/>
    <w:rsid w:val="00B72647"/>
    <w:rsid w:val="00B72A92"/>
    <w:rsid w:val="00B72CAB"/>
    <w:rsid w:val="00B73039"/>
    <w:rsid w:val="00B73AFE"/>
    <w:rsid w:val="00B75217"/>
    <w:rsid w:val="00B756A4"/>
    <w:rsid w:val="00B824E6"/>
    <w:rsid w:val="00B83BFB"/>
    <w:rsid w:val="00B9039C"/>
    <w:rsid w:val="00B92356"/>
    <w:rsid w:val="00B96C06"/>
    <w:rsid w:val="00BA1D10"/>
    <w:rsid w:val="00BA2498"/>
    <w:rsid w:val="00BA4E13"/>
    <w:rsid w:val="00BA78D4"/>
    <w:rsid w:val="00BB18D9"/>
    <w:rsid w:val="00BB1993"/>
    <w:rsid w:val="00BB3DC9"/>
    <w:rsid w:val="00BB413F"/>
    <w:rsid w:val="00BB7181"/>
    <w:rsid w:val="00BB7199"/>
    <w:rsid w:val="00BC17D9"/>
    <w:rsid w:val="00BD30C4"/>
    <w:rsid w:val="00BD7655"/>
    <w:rsid w:val="00BE410D"/>
    <w:rsid w:val="00BF0AC0"/>
    <w:rsid w:val="00BF250B"/>
    <w:rsid w:val="00BF4288"/>
    <w:rsid w:val="00BF4315"/>
    <w:rsid w:val="00BF64F8"/>
    <w:rsid w:val="00BF726E"/>
    <w:rsid w:val="00C0313B"/>
    <w:rsid w:val="00C040B8"/>
    <w:rsid w:val="00C07C11"/>
    <w:rsid w:val="00C1173C"/>
    <w:rsid w:val="00C164C8"/>
    <w:rsid w:val="00C2105F"/>
    <w:rsid w:val="00C2264C"/>
    <w:rsid w:val="00C23516"/>
    <w:rsid w:val="00C3227E"/>
    <w:rsid w:val="00C346E4"/>
    <w:rsid w:val="00C42A6E"/>
    <w:rsid w:val="00C4725C"/>
    <w:rsid w:val="00C47B36"/>
    <w:rsid w:val="00C5082E"/>
    <w:rsid w:val="00C611E1"/>
    <w:rsid w:val="00C62406"/>
    <w:rsid w:val="00C63129"/>
    <w:rsid w:val="00C66867"/>
    <w:rsid w:val="00C7005B"/>
    <w:rsid w:val="00C751D3"/>
    <w:rsid w:val="00C876B2"/>
    <w:rsid w:val="00C92905"/>
    <w:rsid w:val="00C93859"/>
    <w:rsid w:val="00C946CF"/>
    <w:rsid w:val="00C9496E"/>
    <w:rsid w:val="00C95862"/>
    <w:rsid w:val="00C97817"/>
    <w:rsid w:val="00CA09F1"/>
    <w:rsid w:val="00CA1B6F"/>
    <w:rsid w:val="00CA69D6"/>
    <w:rsid w:val="00CA6D2C"/>
    <w:rsid w:val="00CB24F6"/>
    <w:rsid w:val="00CB3F02"/>
    <w:rsid w:val="00CC070C"/>
    <w:rsid w:val="00CD4963"/>
    <w:rsid w:val="00CD54D3"/>
    <w:rsid w:val="00CE08AA"/>
    <w:rsid w:val="00CE2123"/>
    <w:rsid w:val="00CE7E8C"/>
    <w:rsid w:val="00CF07C6"/>
    <w:rsid w:val="00CF5215"/>
    <w:rsid w:val="00CF5D39"/>
    <w:rsid w:val="00D0183A"/>
    <w:rsid w:val="00D022EC"/>
    <w:rsid w:val="00D02FD8"/>
    <w:rsid w:val="00D05772"/>
    <w:rsid w:val="00D05E74"/>
    <w:rsid w:val="00D06F1E"/>
    <w:rsid w:val="00D1051C"/>
    <w:rsid w:val="00D1424D"/>
    <w:rsid w:val="00D15B53"/>
    <w:rsid w:val="00D15C3C"/>
    <w:rsid w:val="00D170E4"/>
    <w:rsid w:val="00D20995"/>
    <w:rsid w:val="00D218CF"/>
    <w:rsid w:val="00D222FD"/>
    <w:rsid w:val="00D256B4"/>
    <w:rsid w:val="00D267AE"/>
    <w:rsid w:val="00D26DAD"/>
    <w:rsid w:val="00D2758A"/>
    <w:rsid w:val="00D322A1"/>
    <w:rsid w:val="00D34279"/>
    <w:rsid w:val="00D3650C"/>
    <w:rsid w:val="00D5186C"/>
    <w:rsid w:val="00D52DCD"/>
    <w:rsid w:val="00D53A0A"/>
    <w:rsid w:val="00D53D08"/>
    <w:rsid w:val="00D54F0A"/>
    <w:rsid w:val="00D55D68"/>
    <w:rsid w:val="00D56868"/>
    <w:rsid w:val="00D61FFB"/>
    <w:rsid w:val="00D63D2A"/>
    <w:rsid w:val="00D76A93"/>
    <w:rsid w:val="00D821F0"/>
    <w:rsid w:val="00D91139"/>
    <w:rsid w:val="00D96119"/>
    <w:rsid w:val="00DA77AA"/>
    <w:rsid w:val="00DB0135"/>
    <w:rsid w:val="00DB061C"/>
    <w:rsid w:val="00DB7258"/>
    <w:rsid w:val="00DB7A6C"/>
    <w:rsid w:val="00DC230B"/>
    <w:rsid w:val="00DC31BA"/>
    <w:rsid w:val="00DC3875"/>
    <w:rsid w:val="00DC4F16"/>
    <w:rsid w:val="00DC5380"/>
    <w:rsid w:val="00DD1420"/>
    <w:rsid w:val="00DD6E92"/>
    <w:rsid w:val="00DD7632"/>
    <w:rsid w:val="00DD7B2F"/>
    <w:rsid w:val="00DE275D"/>
    <w:rsid w:val="00DE5942"/>
    <w:rsid w:val="00DE6C7C"/>
    <w:rsid w:val="00DF1F00"/>
    <w:rsid w:val="00DF32B8"/>
    <w:rsid w:val="00DF4A4C"/>
    <w:rsid w:val="00DF5F39"/>
    <w:rsid w:val="00DF7FAA"/>
    <w:rsid w:val="00E02FF6"/>
    <w:rsid w:val="00E046FC"/>
    <w:rsid w:val="00E05162"/>
    <w:rsid w:val="00E0618B"/>
    <w:rsid w:val="00E06B9A"/>
    <w:rsid w:val="00E14011"/>
    <w:rsid w:val="00E17FAC"/>
    <w:rsid w:val="00E21572"/>
    <w:rsid w:val="00E231F8"/>
    <w:rsid w:val="00E30722"/>
    <w:rsid w:val="00E31900"/>
    <w:rsid w:val="00E37292"/>
    <w:rsid w:val="00E4045B"/>
    <w:rsid w:val="00E4447E"/>
    <w:rsid w:val="00E44DC6"/>
    <w:rsid w:val="00E4740C"/>
    <w:rsid w:val="00E50CE1"/>
    <w:rsid w:val="00E52C83"/>
    <w:rsid w:val="00E54EF0"/>
    <w:rsid w:val="00E5570C"/>
    <w:rsid w:val="00E64503"/>
    <w:rsid w:val="00E65F7A"/>
    <w:rsid w:val="00E6731D"/>
    <w:rsid w:val="00E70B91"/>
    <w:rsid w:val="00E726FC"/>
    <w:rsid w:val="00E82DA8"/>
    <w:rsid w:val="00E85AE9"/>
    <w:rsid w:val="00E85B16"/>
    <w:rsid w:val="00E87A47"/>
    <w:rsid w:val="00E90EB7"/>
    <w:rsid w:val="00E91654"/>
    <w:rsid w:val="00E939DE"/>
    <w:rsid w:val="00EA61AF"/>
    <w:rsid w:val="00EB120D"/>
    <w:rsid w:val="00EB1467"/>
    <w:rsid w:val="00EB1FA1"/>
    <w:rsid w:val="00EC19C1"/>
    <w:rsid w:val="00EC6E9B"/>
    <w:rsid w:val="00ED0555"/>
    <w:rsid w:val="00ED3131"/>
    <w:rsid w:val="00ED583A"/>
    <w:rsid w:val="00ED5E31"/>
    <w:rsid w:val="00ED6544"/>
    <w:rsid w:val="00EE022F"/>
    <w:rsid w:val="00EE1A23"/>
    <w:rsid w:val="00EE2720"/>
    <w:rsid w:val="00EE327F"/>
    <w:rsid w:val="00EE353C"/>
    <w:rsid w:val="00EE6FE1"/>
    <w:rsid w:val="00EF0B54"/>
    <w:rsid w:val="00EF1C92"/>
    <w:rsid w:val="00EF5DE2"/>
    <w:rsid w:val="00EF7E88"/>
    <w:rsid w:val="00F01538"/>
    <w:rsid w:val="00F017EB"/>
    <w:rsid w:val="00F01A2B"/>
    <w:rsid w:val="00F03DAF"/>
    <w:rsid w:val="00F05B44"/>
    <w:rsid w:val="00F15CDF"/>
    <w:rsid w:val="00F206B3"/>
    <w:rsid w:val="00F2342F"/>
    <w:rsid w:val="00F242D3"/>
    <w:rsid w:val="00F24CCA"/>
    <w:rsid w:val="00F25FD8"/>
    <w:rsid w:val="00F32AB2"/>
    <w:rsid w:val="00F32F99"/>
    <w:rsid w:val="00F33ED2"/>
    <w:rsid w:val="00F34D3B"/>
    <w:rsid w:val="00F35D06"/>
    <w:rsid w:val="00F36B1A"/>
    <w:rsid w:val="00F43692"/>
    <w:rsid w:val="00F446B8"/>
    <w:rsid w:val="00F47955"/>
    <w:rsid w:val="00F55BA3"/>
    <w:rsid w:val="00F55C63"/>
    <w:rsid w:val="00F56445"/>
    <w:rsid w:val="00F60205"/>
    <w:rsid w:val="00F63073"/>
    <w:rsid w:val="00F653A7"/>
    <w:rsid w:val="00F67A4C"/>
    <w:rsid w:val="00F67B9A"/>
    <w:rsid w:val="00F709AC"/>
    <w:rsid w:val="00F773E1"/>
    <w:rsid w:val="00F777B3"/>
    <w:rsid w:val="00F83761"/>
    <w:rsid w:val="00F84981"/>
    <w:rsid w:val="00F85748"/>
    <w:rsid w:val="00F85789"/>
    <w:rsid w:val="00F91CE2"/>
    <w:rsid w:val="00F96269"/>
    <w:rsid w:val="00FA08FF"/>
    <w:rsid w:val="00FA0AAC"/>
    <w:rsid w:val="00FA4B8E"/>
    <w:rsid w:val="00FA4E8E"/>
    <w:rsid w:val="00FA660E"/>
    <w:rsid w:val="00FA7906"/>
    <w:rsid w:val="00FA7C03"/>
    <w:rsid w:val="00FB0774"/>
    <w:rsid w:val="00FB0A7C"/>
    <w:rsid w:val="00FB22B5"/>
    <w:rsid w:val="00FB36CA"/>
    <w:rsid w:val="00FB37A8"/>
    <w:rsid w:val="00FB4346"/>
    <w:rsid w:val="00FB67F5"/>
    <w:rsid w:val="00FC1AD1"/>
    <w:rsid w:val="00FC204F"/>
    <w:rsid w:val="00FC2D5A"/>
    <w:rsid w:val="00FC5DC1"/>
    <w:rsid w:val="00FD0D8D"/>
    <w:rsid w:val="00FD267C"/>
    <w:rsid w:val="00FD3172"/>
    <w:rsid w:val="00FD4500"/>
    <w:rsid w:val="00FE6F76"/>
    <w:rsid w:val="00FF1879"/>
    <w:rsid w:val="00FF24BB"/>
    <w:rsid w:val="00FF4DFD"/>
    <w:rsid w:val="00FF6BED"/>
    <w:rsid w:val="011B0B3E"/>
    <w:rsid w:val="02274A75"/>
    <w:rsid w:val="033E13F6"/>
    <w:rsid w:val="03506DE9"/>
    <w:rsid w:val="03A73E37"/>
    <w:rsid w:val="045C30BE"/>
    <w:rsid w:val="04B9111C"/>
    <w:rsid w:val="04BE0636"/>
    <w:rsid w:val="0A587F35"/>
    <w:rsid w:val="0A6615DD"/>
    <w:rsid w:val="0AA200D9"/>
    <w:rsid w:val="0B2A5DBA"/>
    <w:rsid w:val="0BC118C7"/>
    <w:rsid w:val="0BF32F26"/>
    <w:rsid w:val="0F646CD4"/>
    <w:rsid w:val="0FB70159"/>
    <w:rsid w:val="10566AA0"/>
    <w:rsid w:val="10A626E3"/>
    <w:rsid w:val="11326C5D"/>
    <w:rsid w:val="12CE7EAD"/>
    <w:rsid w:val="13413CC1"/>
    <w:rsid w:val="13B760CB"/>
    <w:rsid w:val="158D2F47"/>
    <w:rsid w:val="159A3E84"/>
    <w:rsid w:val="161329A3"/>
    <w:rsid w:val="164E2B47"/>
    <w:rsid w:val="169F1276"/>
    <w:rsid w:val="16CE2E57"/>
    <w:rsid w:val="19706179"/>
    <w:rsid w:val="1A59379F"/>
    <w:rsid w:val="1CA9271C"/>
    <w:rsid w:val="1CCC65C3"/>
    <w:rsid w:val="1D16109E"/>
    <w:rsid w:val="1E5E3285"/>
    <w:rsid w:val="1EFA7AD4"/>
    <w:rsid w:val="1F164383"/>
    <w:rsid w:val="1F8C008B"/>
    <w:rsid w:val="21DC3EB5"/>
    <w:rsid w:val="21F551BE"/>
    <w:rsid w:val="22A30C5C"/>
    <w:rsid w:val="22B10E4A"/>
    <w:rsid w:val="22EF7B02"/>
    <w:rsid w:val="232E322B"/>
    <w:rsid w:val="257A11EB"/>
    <w:rsid w:val="262B76B2"/>
    <w:rsid w:val="274A1985"/>
    <w:rsid w:val="277877D8"/>
    <w:rsid w:val="28AA523C"/>
    <w:rsid w:val="2D55735D"/>
    <w:rsid w:val="2F1A4BA5"/>
    <w:rsid w:val="300726A6"/>
    <w:rsid w:val="30486A45"/>
    <w:rsid w:val="30F750F1"/>
    <w:rsid w:val="33647368"/>
    <w:rsid w:val="33813B45"/>
    <w:rsid w:val="34F50400"/>
    <w:rsid w:val="34F97994"/>
    <w:rsid w:val="35805BB8"/>
    <w:rsid w:val="36E47B9D"/>
    <w:rsid w:val="38D52BF7"/>
    <w:rsid w:val="39EC5C57"/>
    <w:rsid w:val="3A375E14"/>
    <w:rsid w:val="3A476BB9"/>
    <w:rsid w:val="3A7B11C2"/>
    <w:rsid w:val="3ADE63E1"/>
    <w:rsid w:val="3B991C34"/>
    <w:rsid w:val="3B9B464F"/>
    <w:rsid w:val="3C000D95"/>
    <w:rsid w:val="3D4B6B3D"/>
    <w:rsid w:val="3E8A42E6"/>
    <w:rsid w:val="41630B97"/>
    <w:rsid w:val="41835478"/>
    <w:rsid w:val="41BA41E1"/>
    <w:rsid w:val="421E68E9"/>
    <w:rsid w:val="42F61601"/>
    <w:rsid w:val="43523B6F"/>
    <w:rsid w:val="43F11C1C"/>
    <w:rsid w:val="4448317C"/>
    <w:rsid w:val="45D325B3"/>
    <w:rsid w:val="46400D88"/>
    <w:rsid w:val="471E610A"/>
    <w:rsid w:val="485D4FC6"/>
    <w:rsid w:val="48FB6052"/>
    <w:rsid w:val="4951213E"/>
    <w:rsid w:val="49B025B8"/>
    <w:rsid w:val="49CC3268"/>
    <w:rsid w:val="4B191B98"/>
    <w:rsid w:val="4C736FB2"/>
    <w:rsid w:val="4D214550"/>
    <w:rsid w:val="4FB1612B"/>
    <w:rsid w:val="50571B23"/>
    <w:rsid w:val="512632FB"/>
    <w:rsid w:val="539329D3"/>
    <w:rsid w:val="55267F02"/>
    <w:rsid w:val="56653F98"/>
    <w:rsid w:val="5820615E"/>
    <w:rsid w:val="58C841D3"/>
    <w:rsid w:val="58D4368E"/>
    <w:rsid w:val="58DE00A4"/>
    <w:rsid w:val="59AE3315"/>
    <w:rsid w:val="5B37744F"/>
    <w:rsid w:val="5B584ECB"/>
    <w:rsid w:val="5B9F4E6F"/>
    <w:rsid w:val="5BBA74EE"/>
    <w:rsid w:val="5C80234E"/>
    <w:rsid w:val="5DCA7B89"/>
    <w:rsid w:val="5DE40E91"/>
    <w:rsid w:val="5E596938"/>
    <w:rsid w:val="5E9C1EDC"/>
    <w:rsid w:val="5E9E2CBA"/>
    <w:rsid w:val="5EF71B3A"/>
    <w:rsid w:val="5F232B02"/>
    <w:rsid w:val="61C964C6"/>
    <w:rsid w:val="62A34659"/>
    <w:rsid w:val="62A44B43"/>
    <w:rsid w:val="62AA6B74"/>
    <w:rsid w:val="636D6A22"/>
    <w:rsid w:val="63E27E37"/>
    <w:rsid w:val="63FA69BA"/>
    <w:rsid w:val="640E0BC6"/>
    <w:rsid w:val="64330D78"/>
    <w:rsid w:val="65121123"/>
    <w:rsid w:val="67706CC4"/>
    <w:rsid w:val="6844132E"/>
    <w:rsid w:val="69F64FC5"/>
    <w:rsid w:val="6B7C1202"/>
    <w:rsid w:val="6D373641"/>
    <w:rsid w:val="6DC14180"/>
    <w:rsid w:val="6E38742B"/>
    <w:rsid w:val="6FCF1762"/>
    <w:rsid w:val="70607829"/>
    <w:rsid w:val="71A31F1B"/>
    <w:rsid w:val="725D2D38"/>
    <w:rsid w:val="745F1A7B"/>
    <w:rsid w:val="75192F2C"/>
    <w:rsid w:val="75964330"/>
    <w:rsid w:val="76414D0B"/>
    <w:rsid w:val="773C23F5"/>
    <w:rsid w:val="77C178E6"/>
    <w:rsid w:val="77E4505D"/>
    <w:rsid w:val="781B7540"/>
    <w:rsid w:val="787044AC"/>
    <w:rsid w:val="789809BD"/>
    <w:rsid w:val="78BF39AC"/>
    <w:rsid w:val="799C7E9C"/>
    <w:rsid w:val="7A183A19"/>
    <w:rsid w:val="7A18483C"/>
    <w:rsid w:val="7A434839"/>
    <w:rsid w:val="7ADE07C9"/>
    <w:rsid w:val="7BBF169D"/>
    <w:rsid w:val="7C324148"/>
    <w:rsid w:val="7DE5277F"/>
    <w:rsid w:val="7D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FB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New">
    <w:name w:val="页码 New"/>
    <w:basedOn w:val="a0"/>
  </w:style>
  <w:style w:type="character" w:customStyle="1" w:styleId="NewNew">
    <w:name w:val="页码 New New"/>
    <w:basedOn w:val="a0"/>
  </w:style>
  <w:style w:type="character" w:customStyle="1" w:styleId="NewNewNew">
    <w:name w:val="页码 New New New"/>
    <w:basedOn w:val="a0"/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批注主题 Char"/>
    <w:link w:val="a6"/>
    <w:rPr>
      <w:b/>
      <w:bCs/>
      <w:kern w:val="2"/>
      <w:sz w:val="21"/>
    </w:rPr>
  </w:style>
  <w:style w:type="character" w:customStyle="1" w:styleId="Char2">
    <w:name w:val="批注文字 Char"/>
    <w:link w:val="a7"/>
    <w:rPr>
      <w:kern w:val="2"/>
      <w:sz w:val="21"/>
    </w:rPr>
  </w:style>
  <w:style w:type="character" w:customStyle="1" w:styleId="NewNewNewNew">
    <w:name w:val="页码 New New New New"/>
    <w:basedOn w:val="a0"/>
  </w:style>
  <w:style w:type="paragraph" w:styleId="a8">
    <w:name w:val="Body Text Indent"/>
    <w:uiPriority w:val="99"/>
    <w:unhideWhenUsed/>
    <w:pPr>
      <w:spacing w:after="120"/>
      <w:ind w:leftChars="200" w:left="420"/>
    </w:pPr>
  </w:style>
  <w:style w:type="paragraph" w:styleId="a7">
    <w:name w:val="annotation text"/>
    <w:basedOn w:val="a"/>
    <w:link w:val="Char2"/>
    <w:pPr>
      <w:jc w:val="left"/>
    </w:pPr>
  </w:style>
  <w:style w:type="paragraph" w:customStyle="1" w:styleId="NewNew0">
    <w:name w:val="正文 New New"/>
    <w:pPr>
      <w:widowControl w:val="0"/>
      <w:jc w:val="both"/>
    </w:pPr>
    <w:rPr>
      <w:kern w:val="2"/>
      <w:sz w:val="21"/>
    </w:rPr>
  </w:style>
  <w:style w:type="paragraph" w:customStyle="1" w:styleId="New0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6">
    <w:name w:val="annotation subject"/>
    <w:basedOn w:val="a7"/>
    <w:next w:val="a7"/>
    <w:link w:val="Char1"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页眉1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New1">
    <w:name w:val="页眉 New"/>
    <w:basedOn w:val="NewNew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0">
    <w:name w:val="页脚 New New New"/>
    <w:basedOn w:val="NewNewNew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1">
    <w:name w:val="页眉 New New"/>
    <w:basedOn w:val="NewNewNew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customStyle="1" w:styleId="New2">
    <w:name w:val="页脚 New"/>
    <w:basedOn w:val="New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脚1"/>
    <w:basedOn w:val="a"/>
    <w:uiPriority w:val="99"/>
    <w:unhideWhenUsed/>
    <w:pPr>
      <w:tabs>
        <w:tab w:val="center" w:pos="4153"/>
        <w:tab w:val="right" w:pos="8306"/>
      </w:tabs>
      <w:snapToGrid w:val="0"/>
      <w:jc w:val="right"/>
    </w:pPr>
    <w:rPr>
      <w:rFonts w:hint="eastAsia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2">
    <w:name w:val="页脚 New New"/>
    <w:basedOn w:val="NewNew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0">
    <w:name w:val="页脚 New New New New"/>
    <w:basedOn w:val="NewNewNewNewNewNewNewNewNewNewNewNew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">
    <w:name w:val="正文 New New New New New New New New New New New New"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uiPriority w:val="99"/>
    <w:unhideWhenUsed/>
    <w:rPr>
      <w:kern w:val="2"/>
      <w:sz w:val="21"/>
    </w:rPr>
  </w:style>
  <w:style w:type="paragraph" w:customStyle="1" w:styleId="NewNewNewNew1">
    <w:name w:val="正文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1">
    <w:name w:val="正文 New New New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">
    <w:name w:val="正文 New New New New New New New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878</Words>
  <Characters>5006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Manager/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subject/>
  <dc:creator>Administrator</dc:creator>
  <cp:keywords/>
  <dc:description/>
  <cp:lastModifiedBy>yijie ye</cp:lastModifiedBy>
  <cp:revision>80</cp:revision>
  <cp:lastPrinted>2020-04-12T08:41:00Z</cp:lastPrinted>
  <dcterms:created xsi:type="dcterms:W3CDTF">2021-04-28T07:22:00Z</dcterms:created>
  <dcterms:modified xsi:type="dcterms:W3CDTF">2021-08-30T08:20:00Z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