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603612                               证券简称：索通发展</w:t>
      </w:r>
    </w:p>
    <w:p>
      <w:pPr>
        <w:spacing w:line="360" w:lineRule="auto"/>
        <w:jc w:val="center"/>
        <w:rPr>
          <w:rFonts w:ascii="宋体" w:hAnsi="宋体" w:eastAsia="宋体"/>
          <w:b/>
          <w:sz w:val="30"/>
          <w:szCs w:val="30"/>
        </w:rPr>
      </w:pPr>
    </w:p>
    <w:p>
      <w:pPr>
        <w:spacing w:line="360" w:lineRule="auto"/>
        <w:jc w:val="center"/>
        <w:rPr>
          <w:rFonts w:hint="default" w:ascii="宋体" w:hAnsi="宋体" w:eastAsia="宋体"/>
          <w:b/>
          <w:sz w:val="30"/>
          <w:szCs w:val="30"/>
          <w:lang w:val="en-US" w:eastAsia="zh-CN"/>
        </w:rPr>
      </w:pPr>
      <w:r>
        <w:rPr>
          <w:rFonts w:hint="eastAsia" w:ascii="宋体" w:hAnsi="宋体" w:eastAsia="宋体"/>
          <w:b/>
          <w:sz w:val="30"/>
          <w:szCs w:val="30"/>
        </w:rPr>
        <w:t>投资者关系活动</w:t>
      </w:r>
      <w:r>
        <w:rPr>
          <w:rFonts w:hint="eastAsia" w:ascii="宋体" w:hAnsi="宋体" w:eastAsia="宋体"/>
          <w:b/>
          <w:sz w:val="30"/>
          <w:szCs w:val="30"/>
          <w:lang w:val="en-US" w:eastAsia="zh-CN"/>
        </w:rPr>
        <w:t>记录</w:t>
      </w:r>
      <w:r>
        <w:rPr>
          <w:rFonts w:hint="eastAsia" w:ascii="宋体" w:hAnsi="宋体" w:eastAsia="宋体"/>
          <w:b/>
          <w:sz w:val="30"/>
          <w:szCs w:val="30"/>
        </w:rPr>
        <w:t>表</w:t>
      </w:r>
    </w:p>
    <w:p>
      <w:pPr>
        <w:wordWrap w:val="0"/>
        <w:spacing w:line="360" w:lineRule="auto"/>
        <w:jc w:val="right"/>
        <w:rPr>
          <w:rFonts w:ascii="宋体" w:hAnsi="宋体" w:eastAsia="宋体"/>
          <w:sz w:val="24"/>
          <w:szCs w:val="24"/>
        </w:rPr>
      </w:pPr>
      <w:r>
        <w:rPr>
          <w:rFonts w:hint="eastAsia" w:ascii="宋体" w:hAnsi="宋体" w:eastAsia="宋体"/>
          <w:sz w:val="24"/>
          <w:szCs w:val="24"/>
        </w:rPr>
        <w:t>编号：2</w:t>
      </w:r>
      <w:r>
        <w:rPr>
          <w:rFonts w:ascii="宋体" w:hAnsi="宋体" w:eastAsia="宋体"/>
          <w:sz w:val="24"/>
          <w:szCs w:val="24"/>
        </w:rPr>
        <w:t>02</w:t>
      </w:r>
      <w:r>
        <w:rPr>
          <w:rFonts w:hint="eastAsia" w:ascii="宋体" w:hAnsi="宋体" w:eastAsia="宋体"/>
          <w:sz w:val="24"/>
          <w:szCs w:val="24"/>
        </w:rPr>
        <w:t>1-03</w:t>
      </w:r>
    </w:p>
    <w:tbl>
      <w:tblPr>
        <w:tblStyle w:val="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活动类别</w:t>
            </w:r>
          </w:p>
        </w:tc>
        <w:tc>
          <w:tcPr>
            <w:tcW w:w="7506" w:type="dxa"/>
          </w:tcPr>
          <w:p>
            <w:pPr>
              <w:spacing w:line="360" w:lineRule="auto"/>
              <w:rPr>
                <w:rFonts w:ascii="宋体" w:hAnsi="宋体" w:eastAsia="宋体"/>
                <w:sz w:val="24"/>
                <w:szCs w:val="24"/>
              </w:rPr>
            </w:pPr>
            <w:r>
              <w:rPr>
                <w:rFonts w:ascii="宋体" w:hAnsi="宋体" w:eastAsia="宋体"/>
                <w:sz w:val="24"/>
                <w:szCs w:val="24"/>
              </w:rPr>
              <w:sym w:font="Wingdings 2" w:char="0052"/>
            </w:r>
            <w:r>
              <w:rPr>
                <w:rFonts w:hint="eastAsia" w:ascii="宋体" w:hAnsi="宋体" w:eastAsia="宋体"/>
                <w:sz w:val="24"/>
                <w:szCs w:val="24"/>
              </w:rPr>
              <w:t xml:space="preserve">特定对象调研 </w:t>
            </w:r>
            <w:r>
              <w:rPr>
                <w:rFonts w:ascii="宋体" w:hAnsi="宋体" w:eastAsia="宋体"/>
                <w:sz w:val="24"/>
                <w:szCs w:val="24"/>
              </w:rPr>
              <w:t xml:space="preserve"> </w:t>
            </w:r>
            <w:r>
              <w:rPr>
                <w:rFonts w:hint="eastAsia" w:ascii="宋体" w:hAnsi="宋体" w:eastAsia="宋体"/>
                <w:sz w:val="24"/>
                <w:szCs w:val="24"/>
                <w:lang w:val="en-US" w:eastAsia="zh-CN"/>
              </w:rPr>
              <w:t xml:space="preserve"> </w:t>
            </w:r>
            <w:r>
              <w:rPr>
                <w:rFonts w:ascii="宋体" w:hAnsi="宋体" w:eastAsia="宋体"/>
                <w:sz w:val="24"/>
                <w:szCs w:val="24"/>
              </w:rPr>
              <w:t xml:space="preserve"> </w:t>
            </w:r>
            <w:r>
              <w:rPr>
                <w:rFonts w:ascii="宋体" w:hAnsi="宋体" w:eastAsia="宋体"/>
                <w:sz w:val="24"/>
                <w:szCs w:val="24"/>
              </w:rPr>
              <w:sym w:font="Wingdings 2" w:char="F0A3"/>
            </w:r>
            <w:r>
              <w:rPr>
                <w:rFonts w:hint="eastAsia" w:ascii="宋体" w:hAnsi="宋体" w:eastAsia="宋体"/>
                <w:sz w:val="24"/>
                <w:szCs w:val="24"/>
              </w:rPr>
              <w:t xml:space="preserve">分析师会议 </w:t>
            </w:r>
            <w:r>
              <w:rPr>
                <w:rFonts w:ascii="宋体" w:hAnsi="宋体" w:eastAsia="宋体"/>
                <w:sz w:val="24"/>
                <w:szCs w:val="24"/>
              </w:rPr>
              <w:t xml:space="preserve"> </w:t>
            </w:r>
            <w:r>
              <w:rPr>
                <w:rFonts w:hint="eastAsia" w:ascii="宋体" w:hAnsi="宋体" w:eastAsia="宋体"/>
                <w:sz w:val="24"/>
                <w:szCs w:val="24"/>
                <w:lang w:val="en-US" w:eastAsia="zh-CN"/>
              </w:rPr>
              <w:t xml:space="preserve"> </w:t>
            </w:r>
            <w:r>
              <w:rPr>
                <w:rFonts w:ascii="宋体" w:hAnsi="宋体" w:eastAsia="宋体"/>
                <w:sz w:val="24"/>
                <w:szCs w:val="24"/>
              </w:rPr>
              <w:t xml:space="preserve"> </w:t>
            </w:r>
            <w:r>
              <w:rPr>
                <w:rFonts w:ascii="宋体" w:hAnsi="宋体" w:eastAsia="宋体"/>
                <w:sz w:val="24"/>
                <w:szCs w:val="24"/>
              </w:rPr>
              <w:sym w:font="Wingdings 2" w:char="F0A3"/>
            </w:r>
            <w:r>
              <w:rPr>
                <w:rFonts w:hint="eastAsia" w:ascii="宋体" w:hAnsi="宋体" w:eastAsia="宋体"/>
                <w:sz w:val="24"/>
                <w:szCs w:val="24"/>
              </w:rPr>
              <w:t xml:space="preserve">媒体采访 </w:t>
            </w:r>
            <w:r>
              <w:rPr>
                <w:rFonts w:ascii="宋体" w:hAnsi="宋体" w:eastAsia="宋体"/>
                <w:sz w:val="24"/>
                <w:szCs w:val="24"/>
              </w:rPr>
              <w:t xml:space="preserve">   </w:t>
            </w:r>
            <w:r>
              <w:rPr>
                <w:rFonts w:ascii="宋体" w:hAnsi="宋体" w:eastAsia="宋体"/>
                <w:sz w:val="24"/>
                <w:szCs w:val="24"/>
              </w:rPr>
              <w:sym w:font="Wingdings 2" w:char="F0A3"/>
            </w:r>
            <w:r>
              <w:rPr>
                <w:rFonts w:hint="eastAsia" w:ascii="宋体" w:hAnsi="宋体" w:eastAsia="宋体"/>
                <w:sz w:val="24"/>
                <w:szCs w:val="24"/>
              </w:rPr>
              <w:t>路演活动</w:t>
            </w:r>
          </w:p>
          <w:p>
            <w:pPr>
              <w:spacing w:line="360" w:lineRule="auto"/>
              <w:rPr>
                <w:rFonts w:ascii="宋体" w:hAnsi="宋体" w:eastAsia="宋体"/>
                <w:sz w:val="24"/>
                <w:szCs w:val="24"/>
              </w:rPr>
            </w:pPr>
            <w:r>
              <w:rPr>
                <w:rFonts w:ascii="宋体" w:hAnsi="宋体" w:eastAsia="宋体"/>
                <w:sz w:val="24"/>
                <w:szCs w:val="24"/>
              </w:rPr>
              <w:sym w:font="Wingdings 2" w:char="F0A3"/>
            </w:r>
            <w:r>
              <w:rPr>
                <w:rFonts w:hint="eastAsia" w:ascii="宋体" w:hAnsi="宋体" w:eastAsia="宋体"/>
                <w:sz w:val="24"/>
                <w:szCs w:val="24"/>
              </w:rPr>
              <w:t xml:space="preserve">业绩说明会 </w:t>
            </w:r>
            <w:r>
              <w:rPr>
                <w:rFonts w:ascii="宋体" w:hAnsi="宋体" w:eastAsia="宋体"/>
                <w:sz w:val="24"/>
                <w:szCs w:val="24"/>
              </w:rPr>
              <w:t xml:space="preserve">     </w:t>
            </w:r>
            <w:r>
              <w:rPr>
                <w:rFonts w:ascii="宋体" w:hAnsi="宋体" w:eastAsia="宋体"/>
                <w:sz w:val="24"/>
                <w:szCs w:val="24"/>
              </w:rPr>
              <w:sym w:font="Wingdings 2" w:char="F0A3"/>
            </w:r>
            <w:r>
              <w:rPr>
                <w:rFonts w:hint="eastAsia" w:ascii="宋体" w:hAnsi="宋体" w:eastAsia="宋体"/>
                <w:sz w:val="24"/>
                <w:szCs w:val="24"/>
              </w:rPr>
              <w:t xml:space="preserve">新闻发布会 </w:t>
            </w:r>
            <w:r>
              <w:rPr>
                <w:rFonts w:ascii="宋体" w:hAnsi="宋体" w:eastAsia="宋体"/>
                <w:sz w:val="24"/>
                <w:szCs w:val="24"/>
              </w:rPr>
              <w:t xml:space="preserve">   </w:t>
            </w:r>
            <w:r>
              <w:rPr>
                <w:rFonts w:ascii="宋体" w:hAnsi="宋体" w:eastAsia="宋体"/>
                <w:sz w:val="24"/>
                <w:szCs w:val="24"/>
              </w:rPr>
              <w:sym w:font="Wingdings 2" w:char="F0A3"/>
            </w:r>
            <w:r>
              <w:rPr>
                <w:rFonts w:hint="eastAsia" w:ascii="宋体" w:hAnsi="宋体" w:eastAsia="宋体"/>
                <w:sz w:val="24"/>
                <w:szCs w:val="24"/>
              </w:rPr>
              <w:t>现场参观</w:t>
            </w:r>
          </w:p>
          <w:p>
            <w:pPr>
              <w:spacing w:line="360" w:lineRule="auto"/>
              <w:rPr>
                <w:rFonts w:ascii="宋体" w:hAnsi="宋体" w:eastAsia="宋体"/>
                <w:sz w:val="24"/>
                <w:szCs w:val="24"/>
                <w:u w:val="single"/>
              </w:rPr>
            </w:pPr>
            <w:r>
              <w:rPr>
                <w:rFonts w:ascii="宋体" w:hAnsi="宋体" w:eastAsia="宋体"/>
                <w:sz w:val="24"/>
                <w:szCs w:val="24"/>
              </w:rPr>
              <w:sym w:font="Wingdings 2" w:char="F0A3"/>
            </w:r>
            <w:r>
              <w:rPr>
                <w:rFonts w:hint="eastAsia" w:ascii="宋体" w:hAnsi="宋体" w:eastAsia="宋体"/>
                <w:sz w:val="24"/>
                <w:szCs w:val="24"/>
              </w:rPr>
              <w:t xml:space="preserve">其他 </w:t>
            </w:r>
            <w:r>
              <w:rPr>
                <w:rFonts w:ascii="宋体" w:hAnsi="宋体" w:eastAsia="宋体"/>
                <w:sz w:val="24"/>
                <w:szCs w:val="24"/>
              </w:rPr>
              <w:t xml:space="preserve"> </w:t>
            </w:r>
            <w:r>
              <w:rPr>
                <w:rFonts w:hint="eastAsia" w:ascii="宋体" w:hAnsi="宋体" w:eastAsia="宋体"/>
                <w:sz w:val="24"/>
                <w:szCs w:val="24"/>
              </w:rPr>
              <w:t>请说明：</w:t>
            </w:r>
            <w:r>
              <w:rPr>
                <w:rFonts w:hint="eastAsia" w:ascii="宋体" w:hAnsi="宋体" w:eastAsia="宋体"/>
                <w:sz w:val="24"/>
                <w:szCs w:val="24"/>
                <w:u w:val="single"/>
              </w:rPr>
              <w:t xml:space="preserve"> </w:t>
            </w:r>
            <w:r>
              <w:rPr>
                <w:rFonts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投资者</w:t>
            </w:r>
          </w:p>
          <w:p>
            <w:pPr>
              <w:spacing w:line="360" w:lineRule="auto"/>
              <w:jc w:val="center"/>
              <w:rPr>
                <w:rFonts w:ascii="宋体" w:hAnsi="宋体" w:eastAsia="宋体"/>
                <w:b/>
                <w:sz w:val="24"/>
                <w:szCs w:val="24"/>
              </w:rPr>
            </w:pPr>
            <w:r>
              <w:rPr>
                <w:rFonts w:hint="eastAsia" w:ascii="宋体" w:hAnsi="宋体" w:eastAsia="宋体"/>
                <w:b/>
                <w:sz w:val="24"/>
                <w:szCs w:val="24"/>
              </w:rPr>
              <w:t>信息</w:t>
            </w:r>
          </w:p>
        </w:tc>
        <w:tc>
          <w:tcPr>
            <w:tcW w:w="7506" w:type="dxa"/>
            <w:vAlign w:val="center"/>
          </w:tcPr>
          <w:p>
            <w:pPr>
              <w:spacing w:line="360" w:lineRule="auto"/>
              <w:rPr>
                <w:rFonts w:ascii="宋体" w:hAnsi="宋体" w:eastAsia="宋体"/>
                <w:sz w:val="24"/>
                <w:szCs w:val="24"/>
              </w:rPr>
            </w:pPr>
            <w:r>
              <w:rPr>
                <w:rFonts w:hint="eastAsia" w:ascii="宋体" w:hAnsi="宋体" w:eastAsia="宋体"/>
                <w:sz w:val="24"/>
                <w:szCs w:val="24"/>
              </w:rPr>
              <w:t>中邮基金：江刘玮、张腾</w:t>
            </w:r>
          </w:p>
          <w:p>
            <w:pPr>
              <w:spacing w:line="360" w:lineRule="auto"/>
              <w:rPr>
                <w:rFonts w:ascii="宋体" w:hAnsi="宋体" w:eastAsia="宋体"/>
                <w:sz w:val="24"/>
                <w:szCs w:val="24"/>
              </w:rPr>
            </w:pPr>
            <w:r>
              <w:rPr>
                <w:rFonts w:hint="eastAsia" w:ascii="宋体" w:hAnsi="宋体" w:eastAsia="宋体"/>
                <w:sz w:val="24"/>
                <w:szCs w:val="24"/>
              </w:rPr>
              <w:t>华夏基金：杨雅昭</w:t>
            </w:r>
          </w:p>
          <w:p>
            <w:pPr>
              <w:spacing w:line="360" w:lineRule="auto"/>
              <w:rPr>
                <w:rFonts w:ascii="宋体" w:hAnsi="宋体" w:eastAsia="宋体"/>
                <w:sz w:val="24"/>
                <w:szCs w:val="24"/>
              </w:rPr>
            </w:pPr>
            <w:r>
              <w:rPr>
                <w:rFonts w:hint="eastAsia" w:ascii="宋体" w:hAnsi="宋体" w:eastAsia="宋体"/>
                <w:sz w:val="24"/>
                <w:szCs w:val="24"/>
              </w:rPr>
              <w:t>信达证券：娄永刚、董明斌、云琳、白紫薇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spacing w:line="360" w:lineRule="auto"/>
              <w:jc w:val="center"/>
              <w:rPr>
                <w:rFonts w:ascii="宋体" w:hAnsi="宋体" w:eastAsia="宋体"/>
                <w:b/>
                <w:sz w:val="24"/>
                <w:szCs w:val="24"/>
              </w:rPr>
            </w:pPr>
            <w:r>
              <w:rPr>
                <w:rFonts w:hint="eastAsia" w:ascii="宋体" w:hAnsi="宋体" w:eastAsia="宋体"/>
                <w:b/>
                <w:sz w:val="24"/>
                <w:szCs w:val="24"/>
              </w:rPr>
              <w:t>时间</w:t>
            </w:r>
          </w:p>
        </w:tc>
        <w:tc>
          <w:tcPr>
            <w:tcW w:w="7506" w:type="dxa"/>
          </w:tcPr>
          <w:p>
            <w:pPr>
              <w:spacing w:line="360" w:lineRule="auto"/>
              <w:rPr>
                <w:rFonts w:ascii="宋体" w:hAnsi="宋体" w:eastAsia="宋体"/>
                <w:sz w:val="24"/>
                <w:szCs w:val="24"/>
              </w:rPr>
            </w:pPr>
            <w:r>
              <w:rPr>
                <w:rFonts w:hint="eastAsia" w:ascii="宋体" w:hAnsi="宋体" w:eastAsia="宋体"/>
                <w:sz w:val="24"/>
                <w:szCs w:val="24"/>
              </w:rPr>
              <w:t>2021年</w:t>
            </w:r>
            <w:r>
              <w:rPr>
                <w:rFonts w:ascii="宋体" w:hAnsi="宋体" w:eastAsia="宋体"/>
                <w:sz w:val="24"/>
                <w:szCs w:val="24"/>
              </w:rPr>
              <w:t>9</w:t>
            </w:r>
            <w:r>
              <w:rPr>
                <w:rFonts w:hint="eastAsia" w:ascii="宋体" w:hAnsi="宋体" w:eastAsia="宋体"/>
                <w:sz w:val="24"/>
                <w:szCs w:val="24"/>
              </w:rPr>
              <w:t>月7日，15:</w:t>
            </w:r>
            <w:r>
              <w:rPr>
                <w:rFonts w:ascii="宋体" w:hAnsi="宋体" w:eastAsia="宋体"/>
                <w:sz w:val="24"/>
                <w:szCs w:val="24"/>
              </w:rPr>
              <w:t>30</w:t>
            </w:r>
            <w:r>
              <w:rPr>
                <w:rFonts w:hint="eastAsia" w:ascii="宋体" w:hAnsi="宋体" w:eastAsia="宋体"/>
                <w:sz w:val="24"/>
                <w:szCs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spacing w:line="360" w:lineRule="auto"/>
              <w:jc w:val="center"/>
              <w:rPr>
                <w:rFonts w:ascii="宋体" w:hAnsi="宋体" w:eastAsia="宋体"/>
                <w:b/>
                <w:sz w:val="24"/>
                <w:szCs w:val="24"/>
              </w:rPr>
            </w:pPr>
            <w:r>
              <w:rPr>
                <w:rFonts w:hint="eastAsia" w:ascii="宋体" w:hAnsi="宋体" w:eastAsia="宋体"/>
                <w:b/>
                <w:sz w:val="24"/>
                <w:szCs w:val="24"/>
              </w:rPr>
              <w:t>地点</w:t>
            </w:r>
          </w:p>
        </w:tc>
        <w:tc>
          <w:tcPr>
            <w:tcW w:w="7506" w:type="dxa"/>
          </w:tcPr>
          <w:p>
            <w:pPr>
              <w:spacing w:line="360" w:lineRule="auto"/>
              <w:rPr>
                <w:rFonts w:ascii="宋体" w:hAnsi="宋体" w:eastAsia="宋体"/>
                <w:sz w:val="24"/>
                <w:szCs w:val="24"/>
              </w:rPr>
            </w:pPr>
            <w:r>
              <w:rPr>
                <w:rFonts w:hint="eastAsia" w:ascii="宋体" w:hAnsi="宋体" w:eastAsia="宋体"/>
                <w:sz w:val="24"/>
                <w:szCs w:val="24"/>
              </w:rPr>
              <w:t>公司北京会议室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01"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公司接待人员</w:t>
            </w:r>
          </w:p>
        </w:tc>
        <w:tc>
          <w:tcPr>
            <w:tcW w:w="7506" w:type="dxa"/>
            <w:vAlign w:val="center"/>
          </w:tcPr>
          <w:p>
            <w:pPr>
              <w:spacing w:line="360" w:lineRule="auto"/>
              <w:rPr>
                <w:rFonts w:ascii="宋体" w:hAnsi="宋体" w:eastAsia="宋体"/>
                <w:sz w:val="24"/>
                <w:szCs w:val="24"/>
                <w:u w:val="single"/>
              </w:rPr>
            </w:pPr>
            <w:r>
              <w:rPr>
                <w:rFonts w:hint="eastAsia" w:ascii="宋体" w:hAnsi="宋体" w:eastAsia="宋体"/>
                <w:sz w:val="24"/>
                <w:szCs w:val="24"/>
              </w:rPr>
              <w:t>姓名：</w:t>
            </w:r>
            <w:r>
              <w:rPr>
                <w:rFonts w:hint="eastAsia" w:ascii="宋体" w:hAnsi="宋体" w:eastAsia="宋体"/>
                <w:sz w:val="24"/>
                <w:szCs w:val="24"/>
                <w:u w:val="single"/>
              </w:rPr>
              <w:t xml:space="preserve"> 袁钢</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职位：</w:t>
            </w:r>
            <w:r>
              <w:rPr>
                <w:rFonts w:hint="eastAsia" w:ascii="宋体" w:hAnsi="宋体" w:eastAsia="宋体"/>
                <w:sz w:val="24"/>
                <w:szCs w:val="24"/>
                <w:u w:val="single"/>
              </w:rPr>
              <w:t xml:space="preserve"> 副总经理、董事会秘书</w:t>
            </w:r>
            <w:r>
              <w:rPr>
                <w:rFonts w:ascii="宋体" w:hAnsi="宋体" w:eastAsia="宋体"/>
                <w:sz w:val="24"/>
                <w:szCs w:val="24"/>
                <w:u w:val="single"/>
              </w:rPr>
              <w:t xml:space="preserve"> </w:t>
            </w:r>
          </w:p>
          <w:p>
            <w:pPr>
              <w:spacing w:line="360" w:lineRule="auto"/>
              <w:rPr>
                <w:rFonts w:ascii="宋体" w:hAnsi="宋体" w:eastAsia="宋体"/>
                <w:sz w:val="24"/>
                <w:szCs w:val="24"/>
              </w:rPr>
            </w:pPr>
            <w:r>
              <w:rPr>
                <w:rFonts w:hint="eastAsia" w:ascii="宋体" w:hAnsi="宋体" w:eastAsia="宋体"/>
                <w:sz w:val="24"/>
                <w:szCs w:val="24"/>
              </w:rPr>
              <w:t>姓名：</w:t>
            </w:r>
            <w:r>
              <w:rPr>
                <w:rFonts w:hint="eastAsia" w:ascii="宋体" w:hAnsi="宋体" w:eastAsia="宋体"/>
                <w:sz w:val="24"/>
                <w:szCs w:val="24"/>
                <w:u w:val="single"/>
              </w:rPr>
              <w:t xml:space="preserve"> 李焰</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职位：</w:t>
            </w:r>
            <w:r>
              <w:rPr>
                <w:rFonts w:hint="eastAsia" w:ascii="宋体" w:hAnsi="宋体" w:eastAsia="宋体"/>
                <w:sz w:val="24"/>
                <w:szCs w:val="24"/>
                <w:u w:val="single"/>
              </w:rPr>
              <w:t xml:space="preserve"> 副总工程师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701"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调研内容</w:t>
            </w:r>
          </w:p>
        </w:tc>
        <w:tc>
          <w:tcPr>
            <w:tcW w:w="7506" w:type="dxa"/>
          </w:tcPr>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1．请介绍一下公司目前的发展战略。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答：公司目前的发展战略分为三部分。</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w:t>
            </w:r>
            <w:r>
              <w:rPr>
                <w:rFonts w:ascii="宋体" w:hAnsi="宋体" w:eastAsia="宋体" w:cs="宋体"/>
                <w:b/>
                <w:bCs/>
                <w:sz w:val="24"/>
                <w:szCs w:val="24"/>
              </w:rPr>
              <w:t>1</w:t>
            </w:r>
            <w:r>
              <w:rPr>
                <w:rFonts w:hint="eastAsia" w:ascii="宋体" w:hAnsi="宋体" w:eastAsia="宋体" w:cs="宋体"/>
                <w:b/>
                <w:bCs/>
                <w:sz w:val="24"/>
                <w:szCs w:val="24"/>
              </w:rPr>
              <w:t>）主营扩产能。</w:t>
            </w:r>
            <w:r>
              <w:rPr>
                <w:rFonts w:hint="eastAsia" w:ascii="宋体" w:hAnsi="宋体" w:eastAsia="宋体" w:cs="宋体"/>
                <w:sz w:val="24"/>
                <w:szCs w:val="24"/>
              </w:rPr>
              <w:t>十四五期间公司通过新建及并购，争取平均每年新增6</w:t>
            </w:r>
            <w:r>
              <w:rPr>
                <w:rFonts w:ascii="宋体" w:hAnsi="宋体" w:eastAsia="宋体" w:cs="宋体"/>
                <w:sz w:val="24"/>
                <w:szCs w:val="24"/>
              </w:rPr>
              <w:t>0</w:t>
            </w:r>
            <w:r>
              <w:rPr>
                <w:rFonts w:hint="eastAsia" w:ascii="宋体" w:hAnsi="宋体" w:eastAsia="宋体" w:cs="宋体"/>
                <w:sz w:val="24"/>
                <w:szCs w:val="24"/>
              </w:rPr>
              <w:t>万吨产能，总产能达到</w:t>
            </w:r>
            <w:r>
              <w:rPr>
                <w:rFonts w:ascii="宋体" w:hAnsi="宋体" w:eastAsia="宋体" w:cs="宋体"/>
                <w:sz w:val="24"/>
                <w:szCs w:val="24"/>
              </w:rPr>
              <w:t>500</w:t>
            </w:r>
            <w:r>
              <w:rPr>
                <w:rFonts w:hint="eastAsia" w:ascii="宋体" w:hAnsi="宋体" w:eastAsia="宋体" w:cs="宋体"/>
                <w:sz w:val="24"/>
                <w:szCs w:val="24"/>
              </w:rPr>
              <w:t>万吨；</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w:t>
            </w:r>
            <w:r>
              <w:rPr>
                <w:rFonts w:ascii="宋体" w:hAnsi="宋体" w:eastAsia="宋体" w:cs="宋体"/>
                <w:b/>
                <w:bCs/>
                <w:sz w:val="24"/>
                <w:szCs w:val="24"/>
              </w:rPr>
              <w:t>2</w:t>
            </w:r>
            <w:r>
              <w:rPr>
                <w:rFonts w:hint="eastAsia" w:ascii="宋体" w:hAnsi="宋体" w:eastAsia="宋体" w:cs="宋体"/>
                <w:b/>
                <w:bCs/>
                <w:sz w:val="24"/>
                <w:szCs w:val="24"/>
              </w:rPr>
              <w:t>）上游控成本。</w:t>
            </w:r>
            <w:r>
              <w:rPr>
                <w:rFonts w:hint="eastAsia" w:ascii="宋体" w:hAnsi="宋体" w:eastAsia="宋体" w:cs="宋体"/>
                <w:sz w:val="24"/>
                <w:szCs w:val="24"/>
              </w:rPr>
              <w:t>未来充分发挥最大的碳素级石油焦采购商的优势，打造“预焙阳极”与“石油焦贸易”双龙头，充分发挥集中采购和全球采购优势，充分利用未来石油焦期货品种，进一步发挥上游成本优势；</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w:t>
            </w:r>
            <w:r>
              <w:rPr>
                <w:rFonts w:ascii="宋体" w:hAnsi="宋体" w:eastAsia="宋体" w:cs="宋体"/>
                <w:b/>
                <w:bCs/>
                <w:sz w:val="24"/>
                <w:szCs w:val="24"/>
              </w:rPr>
              <w:t>3</w:t>
            </w:r>
            <w:r>
              <w:rPr>
                <w:rFonts w:hint="eastAsia" w:ascii="宋体" w:hAnsi="宋体" w:eastAsia="宋体" w:cs="宋体"/>
                <w:b/>
                <w:bCs/>
                <w:sz w:val="24"/>
                <w:szCs w:val="24"/>
              </w:rPr>
              <w:t>）下游增服务。</w:t>
            </w:r>
            <w:r>
              <w:rPr>
                <w:rFonts w:hint="eastAsia" w:ascii="宋体" w:hAnsi="宋体" w:eastAsia="宋体" w:cs="宋体"/>
                <w:sz w:val="24"/>
                <w:szCs w:val="24"/>
              </w:rPr>
              <w:t>在“双碳”及“能耗双控”趋势下，特别是最近发改委发布了实行阶梯电价的相关政策，下游客户将面临较大减碳降耗压力，公司将发挥现有高端预焙阳极优势以及在服务海外优质客户过程中积累的相关技术和数据优势，以碳通公司为平台，由“单一产品”向“多产品+服务”延伸，提供卓越电解槽综合服务解决方案，为铝行业实现减碳降耗目标做出应有的贡献。（袁钢）</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2．请介绍一下设立碳通公司的目的。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答：公司于8月1</w:t>
            </w:r>
            <w:r>
              <w:rPr>
                <w:rFonts w:ascii="宋体" w:hAnsi="宋体" w:eastAsia="宋体" w:cs="宋体"/>
                <w:sz w:val="24"/>
                <w:szCs w:val="24"/>
              </w:rPr>
              <w:t>8</w:t>
            </w:r>
            <w:r>
              <w:rPr>
                <w:rFonts w:hint="eastAsia" w:ascii="宋体" w:hAnsi="宋体" w:eastAsia="宋体" w:cs="宋体"/>
                <w:sz w:val="24"/>
                <w:szCs w:val="24"/>
              </w:rPr>
              <w:t>日披露了2</w:t>
            </w:r>
            <w:r>
              <w:rPr>
                <w:rFonts w:ascii="宋体" w:hAnsi="宋体" w:eastAsia="宋体" w:cs="宋体"/>
                <w:sz w:val="24"/>
                <w:szCs w:val="24"/>
              </w:rPr>
              <w:t>021</w:t>
            </w:r>
            <w:r>
              <w:rPr>
                <w:rFonts w:hint="eastAsia" w:ascii="宋体" w:hAnsi="宋体" w:eastAsia="宋体" w:cs="宋体"/>
                <w:sz w:val="24"/>
                <w:szCs w:val="24"/>
              </w:rPr>
              <w:t>年半年度报告及董事会审议通过的其他事项，详情请见公司相关公告。碳通公司是在“双碳”趋势下实施产业链协同发展战略的重要举措，对公司未来发展具有重要的战略意义。碳通科技将致力于电解铝行业低碳、可持续发展技术的研发与应用推广，通过自主研发、校企合作、独家授权、合资并购等形式进一步增强公司研发实力，为电解铝行业客户低碳可持续发展提供综合解决方案，持续提升公司核心竞争力和盈利能力。（李焰）</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3.请介绍一下碳通公司未来实现电解铝生产低碳的主要路径。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答：在理论上，每吨电解铝生产的最低电耗为6320度，但目前实际上国内平均吨铝生产电耗约为135</w:t>
            </w:r>
            <w:r>
              <w:rPr>
                <w:rFonts w:ascii="宋体" w:hAnsi="宋体" w:eastAsia="宋体" w:cs="宋体"/>
                <w:sz w:val="24"/>
                <w:szCs w:val="24"/>
              </w:rPr>
              <w:t>43</w:t>
            </w:r>
            <w:r>
              <w:rPr>
                <w:rFonts w:hint="eastAsia" w:ascii="宋体" w:hAnsi="宋体" w:eastAsia="宋体" w:cs="宋体"/>
                <w:sz w:val="24"/>
                <w:szCs w:val="24"/>
              </w:rPr>
              <w:t>度，在生产中有一半以上的电量被消耗掉了。同时，目前国外平均吨铝生产电耗为1332</w:t>
            </w:r>
            <w:r>
              <w:rPr>
                <w:rFonts w:hint="eastAsia" w:ascii="宋体" w:hAnsi="宋体" w:eastAsia="宋体" w:cs="宋体"/>
                <w:sz w:val="24"/>
                <w:szCs w:val="24"/>
                <w:lang w:val="en-US" w:eastAsia="zh-CN"/>
              </w:rPr>
              <w:t>0</w:t>
            </w:r>
            <w:r>
              <w:rPr>
                <w:rFonts w:hint="eastAsia" w:ascii="宋体" w:hAnsi="宋体" w:eastAsia="宋体" w:cs="宋体"/>
                <w:sz w:val="24"/>
                <w:szCs w:val="24"/>
              </w:rPr>
              <w:t>度，海德鲁最先进电解槽的吨铝生产电耗为12270度</w:t>
            </w:r>
            <w:bookmarkStart w:id="0" w:name="_GoBack"/>
            <w:bookmarkEnd w:id="0"/>
            <w:r>
              <w:rPr>
                <w:rFonts w:hint="eastAsia" w:ascii="宋体" w:hAnsi="宋体" w:eastAsia="宋体" w:cs="宋体"/>
                <w:sz w:val="24"/>
                <w:szCs w:val="24"/>
              </w:rPr>
              <w:t>。这说明目前生产过程中的电量消耗有着较大节省空间。碳通公司将分别从预焙阳极、槽内电压、阴极、槽内余热等方面入手，在未来构建智能电解槽控制系统，实现生产全过程的节能降耗。（李焰）</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4.请介绍一下公司在高端预焙阳极方面是如何实现节能减排的。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w:t>
            </w:r>
            <w:r>
              <w:rPr>
                <w:rFonts w:hint="eastAsia" w:ascii="宋体" w:hAnsi="宋体" w:eastAsia="宋体" w:cs="宋体"/>
                <w:b/>
                <w:bCs/>
                <w:sz w:val="24"/>
                <w:szCs w:val="24"/>
              </w:rPr>
              <w:t>一是先讲讲炭阳极的作用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在电解过程中，具有导电、参与电化学反应、提供能量平衡三个作用。导电很容易理解，下面讲讲后面两个作用。</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第一，参与电化学反应：</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炭阳极属于消耗品，</w:t>
            </w:r>
            <w:r>
              <w:rPr>
                <w:rFonts w:hint="eastAsia" w:ascii="宋体" w:hAnsi="宋体" w:eastAsia="宋体" w:cs="宋体"/>
                <w:sz w:val="24"/>
                <w:szCs w:val="24"/>
              </w:rPr>
              <w:t>吨铝毛消耗约0</w:t>
            </w:r>
            <w:r>
              <w:rPr>
                <w:rFonts w:ascii="宋体" w:hAnsi="宋体" w:eastAsia="宋体" w:cs="宋体"/>
                <w:sz w:val="24"/>
                <w:szCs w:val="24"/>
              </w:rPr>
              <w:t>.5</w:t>
            </w:r>
            <w:r>
              <w:rPr>
                <w:rFonts w:hint="eastAsia" w:ascii="宋体" w:hAnsi="宋体" w:eastAsia="宋体" w:cs="宋体"/>
                <w:sz w:val="24"/>
                <w:szCs w:val="24"/>
              </w:rPr>
              <w:t>吨预焙阳极，</w:t>
            </w:r>
            <w:r>
              <w:rPr>
                <w:rFonts w:ascii="宋体" w:hAnsi="宋体" w:eastAsia="宋体" w:cs="宋体"/>
                <w:sz w:val="24"/>
                <w:szCs w:val="24"/>
              </w:rPr>
              <w:t>大概一个月需要换一次；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w:t>
            </w:r>
            <w:r>
              <w:rPr>
                <w:rFonts w:ascii="宋体" w:hAnsi="宋体" w:eastAsia="宋体" w:cs="宋体"/>
                <w:sz w:val="24"/>
                <w:szCs w:val="24"/>
              </w:rPr>
              <w:t>有炭阳极参与和没有炭阳极参与差别很大（不参与反应的例子有惰性阳极技术，氧化铝也可以电解生成铝），有炭阳极参与比没有炭阳极参与相比，电解电压低1伏，从理论电耗来说相当于能减少3200度电耗。</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第二，提供能量平衡：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碳参与电化学反应，生成二氧化碳和一氧化碳这个过程是放热过程，能为电解系统提供热能，能达到</w:t>
            </w:r>
            <w:r>
              <w:rPr>
                <w:rFonts w:ascii="宋体" w:hAnsi="宋体" w:eastAsia="宋体" w:cs="宋体"/>
                <w:sz w:val="24"/>
                <w:szCs w:val="24"/>
              </w:rPr>
              <w:t>3000多度。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炭阳极电解过程中的理论消耗为</w:t>
            </w:r>
            <w:r>
              <w:rPr>
                <w:rFonts w:ascii="宋体" w:hAnsi="宋体" w:eastAsia="宋体" w:cs="宋体"/>
                <w:sz w:val="24"/>
                <w:szCs w:val="24"/>
              </w:rPr>
              <w:t>333公斤/吨铝，实际上行业消耗在400-420公斤，索通的产品消耗在380-400公斤，比行业</w:t>
            </w:r>
            <w:r>
              <w:rPr>
                <w:rFonts w:hint="eastAsia" w:ascii="宋体" w:hAnsi="宋体" w:eastAsia="宋体" w:cs="宋体"/>
                <w:sz w:val="24"/>
                <w:szCs w:val="24"/>
              </w:rPr>
              <w:t>平均水平</w:t>
            </w:r>
            <w:r>
              <w:rPr>
                <w:rFonts w:ascii="宋体" w:hAnsi="宋体" w:eastAsia="宋体" w:cs="宋体"/>
                <w:sz w:val="24"/>
                <w:szCs w:val="24"/>
              </w:rPr>
              <w:t>低20公斤/吨铝。公司</w:t>
            </w:r>
            <w:r>
              <w:rPr>
                <w:rFonts w:hint="eastAsia" w:ascii="宋体" w:hAnsi="宋体" w:eastAsia="宋体" w:cs="宋体"/>
                <w:sz w:val="24"/>
                <w:szCs w:val="24"/>
              </w:rPr>
              <w:t>未来的</w:t>
            </w:r>
            <w:r>
              <w:rPr>
                <w:rFonts w:ascii="宋体" w:hAnsi="宋体" w:eastAsia="宋体" w:cs="宋体"/>
                <w:sz w:val="24"/>
                <w:szCs w:val="24"/>
              </w:rPr>
              <w:t>目标</w:t>
            </w:r>
            <w:r>
              <w:rPr>
                <w:rFonts w:hint="eastAsia" w:ascii="宋体" w:hAnsi="宋体" w:eastAsia="宋体" w:cs="宋体"/>
                <w:sz w:val="24"/>
                <w:szCs w:val="24"/>
              </w:rPr>
              <w:t>是</w:t>
            </w:r>
            <w:r>
              <w:rPr>
                <w:rFonts w:ascii="宋体" w:hAnsi="宋体" w:eastAsia="宋体" w:cs="宋体"/>
                <w:sz w:val="24"/>
                <w:szCs w:val="24"/>
              </w:rPr>
              <w:t>将</w:t>
            </w:r>
            <w:r>
              <w:rPr>
                <w:rFonts w:hint="eastAsia" w:ascii="宋体" w:hAnsi="宋体" w:eastAsia="宋体" w:cs="宋体"/>
                <w:sz w:val="24"/>
                <w:szCs w:val="24"/>
                <w:lang w:val="en-US" w:eastAsia="zh-CN"/>
              </w:rPr>
              <w:t>单位</w:t>
            </w:r>
            <w:r>
              <w:rPr>
                <w:rFonts w:ascii="宋体" w:hAnsi="宋体" w:eastAsia="宋体" w:cs="宋体"/>
                <w:sz w:val="24"/>
                <w:szCs w:val="24"/>
              </w:rPr>
              <w:t>消耗量再往下降20公斤。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理论消耗和实际消耗存在差值的原因是实际生产过程中存在过量消耗，主要原因是电解槽故障有很大一部分与阳极相关。预焙阳极质量对电解铝生产是否正常，以及电流效率、电耗、产品等级（预焙阳极杂质含量很高会影响原铝的质量，</w:t>
            </w:r>
            <w:r>
              <w:rPr>
                <w:rFonts w:hint="eastAsia" w:ascii="宋体" w:hAnsi="宋体" w:eastAsia="宋体" w:cs="宋体"/>
                <w:sz w:val="24"/>
                <w:szCs w:val="24"/>
                <w:lang w:val="en-US" w:eastAsia="zh-CN"/>
              </w:rPr>
              <w:t>因此</w:t>
            </w:r>
            <w:r>
              <w:rPr>
                <w:rFonts w:hint="eastAsia" w:ascii="宋体" w:hAnsi="宋体" w:eastAsia="宋体" w:cs="宋体"/>
                <w:sz w:val="24"/>
                <w:szCs w:val="24"/>
              </w:rPr>
              <w:t xml:space="preserve">高纯铝、高端铝制品必须搭配高端预焙阳极）、经济技术指标影响很大。 </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二是讲讲高端预焙阳极的作用：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电解槽故障</w:t>
            </w:r>
            <w:r>
              <w:rPr>
                <w:rFonts w:ascii="宋体" w:hAnsi="宋体" w:eastAsia="宋体" w:cs="宋体"/>
                <w:sz w:val="24"/>
                <w:szCs w:val="24"/>
              </w:rPr>
              <w:t>70%与预焙阳极有关，典型故障有阳极局部过热、电流分布不均匀、阳极掉块、阳极长包、裂纹、脱落、碳渣、阳极氧化燃烧。阳极掉渣是非常普遍并且对电解铝</w:t>
            </w:r>
            <w:r>
              <w:rPr>
                <w:rFonts w:hint="eastAsia" w:ascii="宋体" w:hAnsi="宋体" w:eastAsia="宋体" w:cs="宋体"/>
                <w:sz w:val="24"/>
                <w:szCs w:val="24"/>
                <w:lang w:val="en-US" w:eastAsia="zh-CN"/>
              </w:rPr>
              <w:t>质量</w:t>
            </w:r>
            <w:r>
              <w:rPr>
                <w:rFonts w:ascii="宋体" w:hAnsi="宋体" w:eastAsia="宋体" w:cs="宋体"/>
                <w:sz w:val="24"/>
                <w:szCs w:val="24"/>
              </w:rPr>
              <w:t>影响很大的一个问题，碳渣对电解质溶液、电导率影响很显著。当碳渣大量掉到电解质里面时，含碳量升高，电解质的比电阻也会增大，使得电解质电压升高，导致电解槽增加额外的发热电压，从而引起槽过热、温度上升。所以当电解</w:t>
            </w:r>
            <w:r>
              <w:rPr>
                <w:rFonts w:hint="eastAsia" w:ascii="宋体" w:hAnsi="宋体" w:eastAsia="宋体" w:cs="宋体"/>
                <w:sz w:val="24"/>
                <w:szCs w:val="24"/>
                <w:lang w:val="en-US" w:eastAsia="zh-CN"/>
              </w:rPr>
              <w:t>质</w:t>
            </w:r>
            <w:r>
              <w:rPr>
                <w:rFonts w:ascii="宋体" w:hAnsi="宋体" w:eastAsia="宋体" w:cs="宋体"/>
                <w:sz w:val="24"/>
                <w:szCs w:val="24"/>
              </w:rPr>
              <w:t>表面漂浮大量碳渣时，碳渣会影响电流在阴阳极之间的流动，部分电流还会进入侧部造成电流损失。</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行业有界定，当电解质含碳量在</w:t>
            </w:r>
            <w:r>
              <w:rPr>
                <w:rFonts w:ascii="宋体" w:hAnsi="宋体" w:eastAsia="宋体" w:cs="宋体"/>
                <w:sz w:val="24"/>
                <w:szCs w:val="24"/>
              </w:rPr>
              <w:t>0.1%以下，可以说基本不掉渣，不会影响电解质的电导率，电解槽也不会过热，有利于提高电流效率；当电解质含碳量在0.2%-0.5%，电解质的电导率会出现明显的下降；当含碳量达到0.6%，电解质的电导率会下降10%，影响较大。公司在</w:t>
            </w:r>
            <w:r>
              <w:rPr>
                <w:rFonts w:hint="eastAsia" w:ascii="宋体" w:hAnsi="宋体" w:eastAsia="宋体" w:cs="宋体"/>
                <w:sz w:val="24"/>
                <w:szCs w:val="24"/>
              </w:rPr>
              <w:t>与</w:t>
            </w:r>
            <w:r>
              <w:rPr>
                <w:rFonts w:ascii="宋体" w:hAnsi="宋体" w:eastAsia="宋体" w:cs="宋体"/>
                <w:sz w:val="24"/>
                <w:szCs w:val="24"/>
              </w:rPr>
              <w:t>下游客户</w:t>
            </w:r>
            <w:r>
              <w:rPr>
                <w:rFonts w:hint="eastAsia" w:ascii="宋体" w:hAnsi="宋体" w:eastAsia="宋体" w:cs="宋体"/>
                <w:sz w:val="24"/>
                <w:szCs w:val="24"/>
              </w:rPr>
              <w:t>的联合</w:t>
            </w:r>
            <w:r>
              <w:rPr>
                <w:rFonts w:ascii="宋体" w:hAnsi="宋体" w:eastAsia="宋体" w:cs="宋体"/>
                <w:sz w:val="24"/>
                <w:szCs w:val="24"/>
              </w:rPr>
              <w:t>实验</w:t>
            </w:r>
            <w:r>
              <w:rPr>
                <w:rFonts w:hint="eastAsia" w:ascii="宋体" w:hAnsi="宋体" w:eastAsia="宋体" w:cs="宋体"/>
                <w:sz w:val="24"/>
                <w:szCs w:val="24"/>
              </w:rPr>
              <w:t>中</w:t>
            </w:r>
            <w:r>
              <w:rPr>
                <w:rFonts w:ascii="宋体" w:hAnsi="宋体" w:eastAsia="宋体" w:cs="宋体"/>
                <w:sz w:val="24"/>
                <w:szCs w:val="24"/>
              </w:rPr>
              <w:t>，使用索通的产品，含碳量在0.07%，电解质导电率正常，而</w:t>
            </w:r>
            <w:r>
              <w:rPr>
                <w:rFonts w:hint="eastAsia" w:ascii="宋体" w:hAnsi="宋体" w:eastAsia="宋体" w:cs="宋体"/>
                <w:sz w:val="24"/>
                <w:szCs w:val="24"/>
              </w:rPr>
              <w:t>与其他</w:t>
            </w:r>
            <w:r>
              <w:rPr>
                <w:rFonts w:ascii="宋体" w:hAnsi="宋体" w:eastAsia="宋体" w:cs="宋体"/>
                <w:sz w:val="24"/>
                <w:szCs w:val="24"/>
              </w:rPr>
              <w:t>产品作为对比，电解质的含碳量是0.35%，导电率降低了5%，单纯从比电阻角度计算，预计每生产</w:t>
            </w:r>
            <w:r>
              <w:rPr>
                <w:rFonts w:hint="eastAsia" w:ascii="宋体" w:hAnsi="宋体" w:eastAsia="宋体" w:cs="宋体"/>
                <w:sz w:val="24"/>
                <w:szCs w:val="24"/>
              </w:rPr>
              <w:t>1</w:t>
            </w:r>
            <w:r>
              <w:rPr>
                <w:rFonts w:ascii="宋体" w:hAnsi="宋体" w:eastAsia="宋体" w:cs="宋体"/>
                <w:sz w:val="24"/>
                <w:szCs w:val="24"/>
              </w:rPr>
              <w:t>吨铝会多消耗212度电</w:t>
            </w:r>
            <w:r>
              <w:rPr>
                <w:rFonts w:hint="eastAsia" w:ascii="宋体" w:hAnsi="宋体" w:eastAsia="宋体" w:cs="宋体"/>
                <w:sz w:val="24"/>
                <w:szCs w:val="24"/>
              </w:rPr>
              <w:t>（仅为个别实验数据，请投资者注意风险）。</w:t>
            </w:r>
            <w:r>
              <w:rPr>
                <w:rFonts w:ascii="宋体" w:hAnsi="宋体" w:eastAsia="宋体" w:cs="宋体"/>
                <w:sz w:val="24"/>
                <w:szCs w:val="24"/>
              </w:rPr>
              <w:t>而在其他方面，含碳量较高时需要人为打开</w:t>
            </w:r>
            <w:r>
              <w:rPr>
                <w:rFonts w:hint="eastAsia" w:ascii="宋体" w:hAnsi="宋体" w:eastAsia="宋体" w:cs="宋体"/>
                <w:sz w:val="24"/>
                <w:szCs w:val="24"/>
              </w:rPr>
              <w:t>电解槽捞渣，这会显著影响生产效率而且会增加热损失。</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除了阳极掉渣之外，阳极开裂也非常影响电解铝生产。阳极一旦开裂，整块掉入电解槽，这个影响会更加严重，这时候必须要开槽捞渣。（李焰）</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5.请介绍一下公司在提高预焙阳极质量方面还做了哪些工作？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答：公司生产的高端预焙阳极主要供海外出口，出口量连续1</w:t>
            </w:r>
            <w:r>
              <w:rPr>
                <w:rFonts w:ascii="宋体" w:hAnsi="宋体" w:eastAsia="宋体" w:cs="宋体"/>
                <w:sz w:val="24"/>
                <w:szCs w:val="24"/>
              </w:rPr>
              <w:t>2</w:t>
            </w:r>
            <w:r>
              <w:rPr>
                <w:rFonts w:hint="eastAsia" w:ascii="宋体" w:hAnsi="宋体" w:eastAsia="宋体" w:cs="宋体"/>
                <w:sz w:val="24"/>
                <w:szCs w:val="24"/>
              </w:rPr>
              <w:t>年居全国第一，赢得海外客户好评。在生产高端预焙阳极方面所作工作如下：</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第一，围绕降低阳极过量消耗方面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公司利用前沿的计算机模拟技术，对原料进行科学配比，根据原料不同的组成、微量元素含量等，为每一个客户提供定制化配方。公司</w:t>
            </w:r>
            <w:r>
              <w:rPr>
                <w:rFonts w:hint="eastAsia" w:ascii="宋体" w:hAnsi="宋体" w:eastAsia="宋体" w:cs="宋体"/>
                <w:sz w:val="24"/>
                <w:szCs w:val="24"/>
              </w:rPr>
              <w:t>始终</w:t>
            </w:r>
            <w:r>
              <w:rPr>
                <w:rFonts w:ascii="宋体" w:hAnsi="宋体" w:eastAsia="宋体" w:cs="宋体"/>
                <w:sz w:val="24"/>
                <w:szCs w:val="24"/>
              </w:rPr>
              <w:t>坚持“一厂一配方”原则；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w:t>
            </w:r>
            <w:r>
              <w:rPr>
                <w:rFonts w:ascii="宋体" w:hAnsi="宋体" w:eastAsia="宋体" w:cs="宋体"/>
                <w:sz w:val="24"/>
                <w:szCs w:val="24"/>
              </w:rPr>
              <w:t>公司通过大数据分析以及AI</w:t>
            </w:r>
            <w:r>
              <w:rPr>
                <w:rFonts w:hint="eastAsia" w:ascii="宋体" w:hAnsi="宋体" w:eastAsia="宋体" w:cs="宋体"/>
                <w:sz w:val="24"/>
                <w:szCs w:val="24"/>
              </w:rPr>
              <w:t>技术</w:t>
            </w:r>
            <w:r>
              <w:rPr>
                <w:rFonts w:ascii="宋体" w:hAnsi="宋体" w:eastAsia="宋体" w:cs="宋体"/>
                <w:sz w:val="24"/>
                <w:szCs w:val="24"/>
              </w:rPr>
              <w:t>，得到不同的原料配比所对应的最佳的生产工艺参数，坚持“一配方一工艺”原则；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通过精细化管理，在确保阳极各个指标符合保证值的情况下，尽量缩小标准偏差，这样更有利于阳极电流分布均匀和阳极的均匀消耗。通过以上措施，尽可能使公司阳极的掉渣控制在尽可能小的数量等级。</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第二，阳极开裂方面，公司也做了大量的工作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成型工艺方面，公司研发了高体密、等重等高、内外结构质地均一为特征的生块制造技术体系；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w:t>
            </w:r>
            <w:r>
              <w:rPr>
                <w:rFonts w:ascii="宋体" w:hAnsi="宋体" w:eastAsia="宋体" w:cs="宋体"/>
                <w:sz w:val="24"/>
                <w:szCs w:val="24"/>
              </w:rPr>
              <w:t>在焙烧环节，利用计算机模拟技术确定不同尺寸的产品最佳的焙烧机制，制定科学的升温曲线，保证焙烧炉温度尽量均匀，保证各个角落的焙烧品质量尽可能一致。通过这些措施，实现产品高体密以及优异的抗冲击性能，保证阳极的使用寿命，延长</w:t>
            </w:r>
            <w:r>
              <w:rPr>
                <w:rFonts w:hint="eastAsia" w:ascii="宋体" w:hAnsi="宋体" w:eastAsia="宋体" w:cs="宋体"/>
                <w:sz w:val="24"/>
                <w:szCs w:val="24"/>
              </w:rPr>
              <w:t>更</w:t>
            </w:r>
            <w:r>
              <w:rPr>
                <w:rFonts w:ascii="宋体" w:hAnsi="宋体" w:eastAsia="宋体" w:cs="宋体"/>
                <w:sz w:val="24"/>
                <w:szCs w:val="24"/>
              </w:rPr>
              <w:t>换阳极的周期，同时</w:t>
            </w:r>
            <w:r>
              <w:rPr>
                <w:rFonts w:hint="eastAsia" w:ascii="宋体" w:hAnsi="宋体" w:eastAsia="宋体" w:cs="宋体"/>
                <w:sz w:val="24"/>
                <w:szCs w:val="24"/>
              </w:rPr>
              <w:t>在</w:t>
            </w:r>
            <w:r>
              <w:rPr>
                <w:rFonts w:ascii="宋体" w:hAnsi="宋体" w:eastAsia="宋体" w:cs="宋体"/>
                <w:sz w:val="24"/>
                <w:szCs w:val="24"/>
              </w:rPr>
              <w:t>很大程度上减少上部的热损失。</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第三，延长阳极寿命，降低电解槽上部散热损失</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电解铝理论电耗</w:t>
            </w:r>
            <w:r>
              <w:rPr>
                <w:rFonts w:ascii="宋体" w:hAnsi="宋体" w:eastAsia="宋体" w:cs="宋体"/>
                <w:sz w:val="24"/>
                <w:szCs w:val="24"/>
              </w:rPr>
              <w:t>6320度/吨，实际上最先进技术在海德鲁，电耗</w:t>
            </w:r>
            <w:r>
              <w:rPr>
                <w:rFonts w:hint="eastAsia" w:ascii="宋体" w:hAnsi="宋体" w:eastAsia="宋体" w:cs="宋体"/>
                <w:sz w:val="24"/>
                <w:szCs w:val="24"/>
              </w:rPr>
              <w:t>约</w:t>
            </w:r>
            <w:r>
              <w:rPr>
                <w:rFonts w:ascii="宋体" w:hAnsi="宋体" w:eastAsia="宋体" w:cs="宋体"/>
                <w:sz w:val="24"/>
                <w:szCs w:val="24"/>
              </w:rPr>
              <w:t>在12270度</w:t>
            </w:r>
            <w:r>
              <w:rPr>
                <w:rFonts w:hint="eastAsia" w:ascii="宋体" w:hAnsi="宋体" w:eastAsia="宋体" w:cs="宋体"/>
                <w:sz w:val="24"/>
                <w:szCs w:val="24"/>
              </w:rPr>
              <w:t>/吨铝</w:t>
            </w:r>
            <w:r>
              <w:rPr>
                <w:rFonts w:ascii="宋体" w:hAnsi="宋体" w:eastAsia="宋体" w:cs="宋体"/>
                <w:sz w:val="24"/>
                <w:szCs w:val="24"/>
              </w:rPr>
              <w:t>，发达国家平均</w:t>
            </w:r>
            <w:r>
              <w:rPr>
                <w:rFonts w:hint="eastAsia" w:ascii="宋体" w:hAnsi="宋体" w:eastAsia="宋体" w:cs="宋体"/>
                <w:sz w:val="24"/>
                <w:szCs w:val="24"/>
              </w:rPr>
              <w:t>约</w:t>
            </w:r>
            <w:r>
              <w:rPr>
                <w:rFonts w:ascii="宋体" w:hAnsi="宋体" w:eastAsia="宋体" w:cs="宋体"/>
                <w:sz w:val="24"/>
                <w:szCs w:val="24"/>
              </w:rPr>
              <w:t>13320度</w:t>
            </w:r>
            <w:r>
              <w:rPr>
                <w:rFonts w:hint="eastAsia" w:ascii="宋体" w:hAnsi="宋体" w:eastAsia="宋体" w:cs="宋体"/>
                <w:sz w:val="24"/>
                <w:szCs w:val="24"/>
              </w:rPr>
              <w:t>/吨铝</w:t>
            </w:r>
            <w:r>
              <w:rPr>
                <w:rFonts w:ascii="宋体" w:hAnsi="宋体" w:eastAsia="宋体" w:cs="宋体"/>
                <w:sz w:val="24"/>
                <w:szCs w:val="24"/>
              </w:rPr>
              <w:t>左右，国内平均电耗</w:t>
            </w:r>
            <w:r>
              <w:rPr>
                <w:rFonts w:hint="eastAsia" w:ascii="宋体" w:hAnsi="宋体" w:eastAsia="宋体" w:cs="宋体"/>
                <w:sz w:val="24"/>
                <w:szCs w:val="24"/>
              </w:rPr>
              <w:t>约</w:t>
            </w:r>
            <w:r>
              <w:rPr>
                <w:rFonts w:ascii="宋体" w:hAnsi="宋体" w:eastAsia="宋体" w:cs="宋体"/>
                <w:sz w:val="24"/>
                <w:szCs w:val="24"/>
              </w:rPr>
              <w:t>在</w:t>
            </w:r>
            <w:r>
              <w:rPr>
                <w:rFonts w:hint="eastAsia" w:ascii="宋体" w:hAnsi="宋体" w:eastAsia="宋体" w:cs="宋体"/>
                <w:sz w:val="24"/>
                <w:szCs w:val="24"/>
              </w:rPr>
              <w:t>13543</w:t>
            </w:r>
            <w:r>
              <w:rPr>
                <w:rFonts w:ascii="宋体" w:hAnsi="宋体" w:eastAsia="宋体" w:cs="宋体"/>
                <w:sz w:val="24"/>
                <w:szCs w:val="24"/>
              </w:rPr>
              <w:t>度</w:t>
            </w:r>
            <w:r>
              <w:rPr>
                <w:rFonts w:hint="eastAsia" w:ascii="宋体" w:hAnsi="宋体" w:eastAsia="宋体" w:cs="宋体"/>
                <w:sz w:val="24"/>
                <w:szCs w:val="24"/>
              </w:rPr>
              <w:t>/吨铝</w:t>
            </w:r>
            <w:r>
              <w:rPr>
                <w:rFonts w:ascii="宋体" w:hAnsi="宋体" w:eastAsia="宋体" w:cs="宋体"/>
                <w:sz w:val="24"/>
                <w:szCs w:val="24"/>
              </w:rPr>
              <w:t>。</w:t>
            </w:r>
            <w:r>
              <w:rPr>
                <w:rFonts w:hint="eastAsia" w:ascii="宋体" w:hAnsi="宋体" w:eastAsia="宋体" w:cs="宋体"/>
                <w:sz w:val="24"/>
                <w:szCs w:val="24"/>
              </w:rPr>
              <w:t>根据相关统计，</w:t>
            </w:r>
            <w:r>
              <w:rPr>
                <w:rFonts w:ascii="宋体" w:hAnsi="宋体" w:eastAsia="宋体" w:cs="宋体"/>
                <w:sz w:val="24"/>
                <w:szCs w:val="24"/>
              </w:rPr>
              <w:t>铝电解的电能利用率只有40%</w:t>
            </w:r>
            <w:r>
              <w:rPr>
                <w:rFonts w:hint="eastAsia" w:ascii="宋体" w:hAnsi="宋体" w:eastAsia="宋体" w:cs="宋体"/>
                <w:sz w:val="24"/>
                <w:szCs w:val="24"/>
              </w:rPr>
              <w:t>-</w:t>
            </w:r>
            <w:r>
              <w:rPr>
                <w:rFonts w:ascii="宋体" w:hAnsi="宋体" w:eastAsia="宋体" w:cs="宋体"/>
                <w:sz w:val="24"/>
                <w:szCs w:val="24"/>
              </w:rPr>
              <w:t>50%，超过50%的电都以各种形式浪费掉了，</w:t>
            </w:r>
            <w:r>
              <w:rPr>
                <w:rFonts w:hint="eastAsia" w:ascii="宋体" w:hAnsi="宋体" w:eastAsia="宋体" w:cs="宋体"/>
                <w:sz w:val="24"/>
                <w:szCs w:val="24"/>
              </w:rPr>
              <w:t>其中5</w:t>
            </w:r>
            <w:r>
              <w:rPr>
                <w:rFonts w:ascii="宋体" w:hAnsi="宋体" w:eastAsia="宋体" w:cs="宋体"/>
                <w:sz w:val="24"/>
                <w:szCs w:val="24"/>
              </w:rPr>
              <w:t>0%中的65%以上都是通过上部散热损失</w:t>
            </w:r>
            <w:r>
              <w:rPr>
                <w:rFonts w:hint="eastAsia" w:ascii="宋体" w:hAnsi="宋体" w:eastAsia="宋体" w:cs="宋体"/>
                <w:sz w:val="24"/>
                <w:szCs w:val="24"/>
              </w:rPr>
              <w:t>的</w:t>
            </w:r>
            <w:r>
              <w:rPr>
                <w:rFonts w:ascii="宋体" w:hAnsi="宋体" w:eastAsia="宋体" w:cs="宋体"/>
                <w:sz w:val="24"/>
                <w:szCs w:val="24"/>
              </w:rPr>
              <w:t>（停槽、开槽、捞渣等）。因此，只要阳极质量足够好，没有掉渣、掉块现象，而且有足够长的使用寿命的情况下，</w:t>
            </w:r>
            <w:r>
              <w:rPr>
                <w:rFonts w:hint="eastAsia" w:ascii="宋体" w:hAnsi="宋体" w:eastAsia="宋体" w:cs="宋体"/>
                <w:sz w:val="24"/>
                <w:szCs w:val="24"/>
                <w:lang w:val="en-US" w:eastAsia="zh-CN"/>
              </w:rPr>
              <w:t>就</w:t>
            </w:r>
            <w:r>
              <w:rPr>
                <w:rFonts w:ascii="宋体" w:hAnsi="宋体" w:eastAsia="宋体" w:cs="宋体"/>
                <w:sz w:val="24"/>
                <w:szCs w:val="24"/>
              </w:rPr>
              <w:t>能</w:t>
            </w:r>
            <w:r>
              <w:rPr>
                <w:rFonts w:hint="eastAsia" w:ascii="宋体" w:hAnsi="宋体" w:eastAsia="宋体" w:cs="宋体"/>
                <w:sz w:val="24"/>
                <w:szCs w:val="24"/>
              </w:rPr>
              <w:t>在很</w:t>
            </w:r>
            <w:r>
              <w:rPr>
                <w:rFonts w:ascii="宋体" w:hAnsi="宋体" w:eastAsia="宋体" w:cs="宋体"/>
                <w:sz w:val="24"/>
                <w:szCs w:val="24"/>
              </w:rPr>
              <w:t>大程度上减少上部散热的损失，从而极大地降低电解铝的电耗水平。</w:t>
            </w:r>
            <w:r>
              <w:rPr>
                <w:rFonts w:hint="eastAsia" w:ascii="宋体" w:hAnsi="宋体" w:eastAsia="宋体" w:cs="宋体"/>
                <w:sz w:val="24"/>
                <w:szCs w:val="24"/>
              </w:rPr>
              <w:t>（李焰）</w:t>
            </w:r>
          </w:p>
          <w:p>
            <w:pPr>
              <w:spacing w:line="360" w:lineRule="auto"/>
              <w:ind w:firstLine="480" w:firstLineChars="200"/>
              <w:rPr>
                <w:rFonts w:hint="eastAsia" w:ascii="宋体" w:hAnsi="宋体" w:eastAsia="宋体" w:cs="宋体"/>
                <w:sz w:val="24"/>
                <w:szCs w:val="24"/>
              </w:rPr>
            </w:pPr>
          </w:p>
          <w:p>
            <w:pPr>
              <w:spacing w:before="0" w:line="360" w:lineRule="auto"/>
              <w:rPr>
                <w:rFonts w:ascii="宋体" w:hAnsi="宋体" w:eastAsia="宋体" w:cs="宋体"/>
                <w:b/>
                <w:bCs/>
                <w:sz w:val="24"/>
                <w:szCs w:val="24"/>
              </w:rPr>
            </w:pPr>
            <w:r>
              <w:rPr>
                <w:rFonts w:hint="eastAsia" w:ascii="宋体" w:hAnsi="宋体" w:eastAsia="宋体" w:cs="宋体"/>
                <w:b/>
                <w:bCs/>
                <w:sz w:val="24"/>
                <w:szCs w:val="24"/>
              </w:rPr>
              <w:t>6.请介绍一下公司在其他方面是如何实现节能减排的。</w:t>
            </w:r>
          </w:p>
          <w:p>
            <w:pPr>
              <w:spacing w:before="0" w:line="360" w:lineRule="auto"/>
              <w:ind w:firstLine="480" w:firstLineChars="200"/>
              <w:rPr>
                <w:rFonts w:ascii="宋体" w:hAnsi="宋体" w:eastAsia="宋体" w:cs="宋体"/>
                <w:sz w:val="24"/>
                <w:szCs w:val="24"/>
              </w:rPr>
            </w:pPr>
            <w:r>
              <w:rPr>
                <w:rFonts w:hint="eastAsia" w:ascii="宋体" w:hAnsi="宋体" w:eastAsia="宋体" w:cs="宋体"/>
                <w:sz w:val="24"/>
                <w:szCs w:val="24"/>
              </w:rPr>
              <w:t>答：在电解铝中，阳极并不是单独使用，它需要钢爪、导杆、卡具，这类和阳极有关的零部件公司也做了相应的研究。事实上，电解槽的各部位都有节能降耗的空间。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卡具：关键在于保证卡具和导杆之间电压降是最小的。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导杆：材质是铝合金，会被氧化，氧化之后会影响导电性能，导杆关键在于降低电阻率，也有挖掘空间。导杆清洗和不清洗，电压会相差</w:t>
            </w:r>
            <w:r>
              <w:rPr>
                <w:rFonts w:ascii="宋体" w:hAnsi="宋体" w:eastAsia="宋体" w:cs="宋体"/>
                <w:sz w:val="24"/>
                <w:szCs w:val="24"/>
              </w:rPr>
              <w:t>4-7毫伏（1毫伏相当于3.2度电），相当于</w:t>
            </w:r>
            <w:r>
              <w:rPr>
                <w:rFonts w:hint="eastAsia" w:ascii="宋体" w:hAnsi="宋体" w:eastAsia="宋体" w:cs="宋体"/>
                <w:sz w:val="24"/>
                <w:szCs w:val="24"/>
              </w:rPr>
              <w:t>1</w:t>
            </w:r>
            <w:r>
              <w:rPr>
                <w:rFonts w:ascii="宋体" w:hAnsi="宋体" w:eastAsia="宋体" w:cs="宋体"/>
                <w:sz w:val="24"/>
                <w:szCs w:val="24"/>
              </w:rPr>
              <w:t>2.8</w:t>
            </w:r>
            <w:r>
              <w:rPr>
                <w:rFonts w:hint="eastAsia" w:ascii="宋体" w:hAnsi="宋体" w:eastAsia="宋体" w:cs="宋体"/>
                <w:sz w:val="24"/>
                <w:szCs w:val="24"/>
              </w:rPr>
              <w:t>度-</w:t>
            </w:r>
            <w:r>
              <w:rPr>
                <w:rFonts w:ascii="宋体" w:hAnsi="宋体" w:eastAsia="宋体" w:cs="宋体"/>
                <w:sz w:val="24"/>
                <w:szCs w:val="24"/>
              </w:rPr>
              <w:t>22.4</w:t>
            </w:r>
            <w:r>
              <w:rPr>
                <w:rFonts w:hint="eastAsia" w:ascii="宋体" w:hAnsi="宋体" w:eastAsia="宋体" w:cs="宋体"/>
                <w:sz w:val="24"/>
                <w:szCs w:val="24"/>
              </w:rPr>
              <w:t>度</w:t>
            </w:r>
            <w:r>
              <w:rPr>
                <w:rFonts w:ascii="宋体" w:hAnsi="宋体" w:eastAsia="宋体" w:cs="宋体"/>
                <w:sz w:val="24"/>
                <w:szCs w:val="24"/>
              </w:rPr>
              <w:t>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钢爪：导杆和钢爪连接的部位、钢爪和阳极连接部位、钢爪本身，都是有降电耗的空间。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w:t>
            </w:r>
            <w:r>
              <w:rPr>
                <w:rFonts w:ascii="宋体" w:hAnsi="宋体" w:eastAsia="宋体" w:cs="宋体"/>
                <w:sz w:val="24"/>
                <w:szCs w:val="24"/>
              </w:rPr>
              <w:t>目前钢爪主要考虑的是力学性能，但是没有很好地考虑到其他的一些性能。公司通过对阳极钢爪进行电场的仿真，建立电场分布模型，研发出一种新型的节能均流钢爪，通过调整内部电流分布，可以降低钢爪的电阻，进而降低电压降在15毫伏以上，相当于吨铝的电耗能降低50度左右</w:t>
            </w:r>
            <w:r>
              <w:rPr>
                <w:rFonts w:hint="eastAsia" w:ascii="宋体" w:hAnsi="宋体" w:eastAsia="宋体" w:cs="宋体"/>
                <w:sz w:val="24"/>
                <w:szCs w:val="24"/>
              </w:rPr>
              <w:t>（以上仅为实验数据，请投资者注意风险）</w:t>
            </w:r>
            <w:r>
              <w:rPr>
                <w:rFonts w:ascii="宋体" w:hAnsi="宋体" w:eastAsia="宋体" w:cs="宋体"/>
                <w:sz w:val="24"/>
                <w:szCs w:val="24"/>
              </w:rPr>
              <w:t>，可以有效的降低电耗、提升电流效率。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w:t>
            </w:r>
            <w:r>
              <w:rPr>
                <w:rFonts w:ascii="宋体" w:hAnsi="宋体" w:eastAsia="宋体" w:cs="宋体"/>
                <w:sz w:val="24"/>
                <w:szCs w:val="24"/>
              </w:rPr>
              <w:t>钢爪和阳极连接部位浇铸的磷生铁，也有挖潜空间；随着磷生铁的不断循环使用，里面的碳含量会逐渐减少，硫含量逐渐增大，国内现在的技术没有办法实现</w:t>
            </w:r>
            <w:r>
              <w:rPr>
                <w:rFonts w:hint="eastAsia" w:ascii="宋体" w:hAnsi="宋体" w:eastAsia="宋体" w:cs="宋体"/>
                <w:sz w:val="24"/>
                <w:szCs w:val="24"/>
              </w:rPr>
              <w:t>高效无副作用的增碳和脱硫；公司通过建立阳极热场的数学模型，得到阳极的热力分布，从而找到磷生铁最佳的配方，从而实现真正的循环利用，还可以节省组装的采购成本；公司实验表明，这种技术可以降低</w:t>
            </w:r>
            <w:r>
              <w:rPr>
                <w:rFonts w:hint="eastAsia" w:ascii="宋体" w:hAnsi="宋体" w:eastAsia="宋体" w:cs="宋体"/>
                <w:sz w:val="24"/>
                <w:szCs w:val="24"/>
                <w:lang w:val="en-US" w:eastAsia="zh-CN"/>
              </w:rPr>
              <w:t>电</w:t>
            </w:r>
            <w:r>
              <w:rPr>
                <w:rFonts w:hint="eastAsia" w:ascii="宋体" w:hAnsi="宋体" w:eastAsia="宋体" w:cs="宋体"/>
                <w:sz w:val="24"/>
                <w:szCs w:val="24"/>
              </w:rPr>
              <w:t>压降</w:t>
            </w:r>
            <w:r>
              <w:rPr>
                <w:rFonts w:ascii="宋体" w:hAnsi="宋体" w:eastAsia="宋体" w:cs="宋体"/>
                <w:sz w:val="24"/>
                <w:szCs w:val="24"/>
              </w:rPr>
              <w:t>15毫伏以上</w:t>
            </w:r>
            <w:r>
              <w:rPr>
                <w:rFonts w:hint="eastAsia" w:ascii="宋体" w:hAnsi="宋体" w:eastAsia="宋体" w:cs="宋体"/>
                <w:sz w:val="24"/>
                <w:szCs w:val="24"/>
              </w:rPr>
              <w:t>（以上仅为实验数据，请投资者注意风险）</w:t>
            </w:r>
            <w:r>
              <w:rPr>
                <w:rFonts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阴极方面，公司也做了大量的工作，降电耗空间巨大。公司研发的高端石墨化阴极与</w:t>
            </w:r>
            <w:r>
              <w:rPr>
                <w:rFonts w:ascii="宋体" w:hAnsi="宋体" w:eastAsia="宋体" w:cs="宋体"/>
                <w:sz w:val="24"/>
                <w:szCs w:val="24"/>
              </w:rPr>
              <w:t>50%石墨质阴极相比，吨铝节电效果非常显著。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同时，公司在涂层阳极、智能电解槽、上部热损失循环利用等方面亦有研究成果。（李焰）</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7.请问公司的客户如果接受公司相关节能减排方案的话，是否会对其产品成本有显著影响。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以目前的实际情况来估计，客户未来如果接受公司相关节能减排方案不会过高增加成本，原因是方案内做出的改进基本都是以当前电解铝生产中的各环节为基础的，没有出现生产流程与工艺的重大变动，只需要做部分替代和改进，如在槽内植入传感器，前期投资不大。同时，接受该节能方案所带来的经济收益较好，可以覆盖相关成本。但这是在目前环保要求不断加强的大趋势下做出的判断，其依据的判断基础是未来国家对铝生产能耗要求不断增加，电解铝生产所需电力的价格会不断增加。（袁钢）</w:t>
            </w:r>
          </w:p>
          <w:p>
            <w:pPr>
              <w:spacing w:before="240" w:line="360" w:lineRule="auto"/>
              <w:rPr>
                <w:rFonts w:ascii="宋体" w:hAnsi="宋体" w:eastAsia="宋体" w:cs="宋体"/>
                <w:b/>
                <w:bCs/>
                <w:sz w:val="24"/>
                <w:szCs w:val="24"/>
              </w:rPr>
            </w:pPr>
            <w:r>
              <w:rPr>
                <w:rFonts w:hint="eastAsia" w:ascii="宋体" w:hAnsi="宋体" w:eastAsia="宋体" w:cs="宋体"/>
                <w:b/>
                <w:bCs/>
                <w:sz w:val="24"/>
                <w:szCs w:val="24"/>
              </w:rPr>
              <w:t>8.石油焦价格的上涨是否对公司的经营与现金流有着较大影响。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公司在一季度、二季度主动增加原材料战略库存，从半年报来看，增益效果明显，相比一季度，二季度公司经营性现金净流量持续向好。目前石油焦价格上涨，对行业影响显著，特别是对一些中小型阳极生产商现金流影响较大，公司作为行业唯一一家上市公司，具备融资工具多、融资成本低和集中采购、全球采购优势，头部规模优势进一步显现。（袁钢）</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spacing w:line="360" w:lineRule="auto"/>
              <w:jc w:val="center"/>
              <w:rPr>
                <w:rFonts w:ascii="宋体" w:hAnsi="宋体" w:eastAsia="宋体"/>
                <w:b/>
                <w:sz w:val="24"/>
                <w:szCs w:val="24"/>
              </w:rPr>
            </w:pPr>
            <w:r>
              <w:rPr>
                <w:rFonts w:hint="eastAsia" w:ascii="宋体" w:hAnsi="宋体" w:eastAsia="宋体"/>
                <w:b/>
                <w:sz w:val="24"/>
                <w:szCs w:val="24"/>
              </w:rPr>
              <w:t>相关文件清单</w:t>
            </w:r>
          </w:p>
        </w:tc>
        <w:tc>
          <w:tcPr>
            <w:tcW w:w="7506" w:type="dxa"/>
          </w:tcPr>
          <w:p>
            <w:pPr>
              <w:spacing w:line="360" w:lineRule="auto"/>
              <w:rPr>
                <w:rFonts w:ascii="宋体" w:hAnsi="宋体" w:eastAsia="宋体"/>
                <w:sz w:val="24"/>
                <w:szCs w:val="24"/>
              </w:rPr>
            </w:pPr>
            <w:r>
              <w:rPr>
                <w:rFonts w:hint="eastAsia" w:ascii="宋体" w:hAnsi="宋体" w:eastAsia="宋体"/>
                <w:sz w:val="24"/>
                <w:szCs w:val="24"/>
              </w:rPr>
              <w:t>无</w:t>
            </w:r>
          </w:p>
        </w:tc>
      </w:tr>
    </w:tbl>
    <w:p>
      <w:pPr>
        <w:spacing w:line="360" w:lineRule="auto"/>
        <w:rPr>
          <w:rFonts w:ascii="宋体" w:hAnsi="宋体" w:eastAsia="宋体"/>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F"/>
    <w:rsid w:val="00006188"/>
    <w:rsid w:val="00081A91"/>
    <w:rsid w:val="000923C8"/>
    <w:rsid w:val="000A2EF5"/>
    <w:rsid w:val="000B1B24"/>
    <w:rsid w:val="001016AE"/>
    <w:rsid w:val="00101CD6"/>
    <w:rsid w:val="0011544A"/>
    <w:rsid w:val="00122941"/>
    <w:rsid w:val="001270AB"/>
    <w:rsid w:val="00146A09"/>
    <w:rsid w:val="00163209"/>
    <w:rsid w:val="001A472D"/>
    <w:rsid w:val="001E2CBD"/>
    <w:rsid w:val="001E5ED0"/>
    <w:rsid w:val="00216348"/>
    <w:rsid w:val="00230F5A"/>
    <w:rsid w:val="002320A6"/>
    <w:rsid w:val="00243225"/>
    <w:rsid w:val="00247774"/>
    <w:rsid w:val="002600FE"/>
    <w:rsid w:val="00261B90"/>
    <w:rsid w:val="00266DDF"/>
    <w:rsid w:val="00286A58"/>
    <w:rsid w:val="00294FF7"/>
    <w:rsid w:val="002B56C7"/>
    <w:rsid w:val="002D7C89"/>
    <w:rsid w:val="002F57B0"/>
    <w:rsid w:val="00310D24"/>
    <w:rsid w:val="00313BF6"/>
    <w:rsid w:val="00323B34"/>
    <w:rsid w:val="003461C5"/>
    <w:rsid w:val="0034740E"/>
    <w:rsid w:val="003D35B8"/>
    <w:rsid w:val="003F5C9B"/>
    <w:rsid w:val="004250B4"/>
    <w:rsid w:val="00465C02"/>
    <w:rsid w:val="00486F5B"/>
    <w:rsid w:val="004D4223"/>
    <w:rsid w:val="004E4675"/>
    <w:rsid w:val="004E4DAC"/>
    <w:rsid w:val="004E6A8B"/>
    <w:rsid w:val="00512004"/>
    <w:rsid w:val="00516B9C"/>
    <w:rsid w:val="005259DD"/>
    <w:rsid w:val="00533508"/>
    <w:rsid w:val="00535190"/>
    <w:rsid w:val="00540EA3"/>
    <w:rsid w:val="005650CF"/>
    <w:rsid w:val="005669D7"/>
    <w:rsid w:val="00577081"/>
    <w:rsid w:val="00577E3E"/>
    <w:rsid w:val="005840B9"/>
    <w:rsid w:val="005C3A17"/>
    <w:rsid w:val="005E01FA"/>
    <w:rsid w:val="005E592D"/>
    <w:rsid w:val="005F4116"/>
    <w:rsid w:val="00600302"/>
    <w:rsid w:val="00624CF4"/>
    <w:rsid w:val="00630186"/>
    <w:rsid w:val="00637254"/>
    <w:rsid w:val="00675622"/>
    <w:rsid w:val="0067593F"/>
    <w:rsid w:val="0068203C"/>
    <w:rsid w:val="00682533"/>
    <w:rsid w:val="0068438B"/>
    <w:rsid w:val="006A5DE9"/>
    <w:rsid w:val="006C79D1"/>
    <w:rsid w:val="006E7580"/>
    <w:rsid w:val="0073481E"/>
    <w:rsid w:val="00734981"/>
    <w:rsid w:val="00735EAE"/>
    <w:rsid w:val="00757FBA"/>
    <w:rsid w:val="00783E6D"/>
    <w:rsid w:val="007A0B89"/>
    <w:rsid w:val="007B79B2"/>
    <w:rsid w:val="008014BD"/>
    <w:rsid w:val="008073D9"/>
    <w:rsid w:val="008226EB"/>
    <w:rsid w:val="00863F51"/>
    <w:rsid w:val="00865513"/>
    <w:rsid w:val="008869E9"/>
    <w:rsid w:val="00890079"/>
    <w:rsid w:val="0089736E"/>
    <w:rsid w:val="00897912"/>
    <w:rsid w:val="008A02BF"/>
    <w:rsid w:val="008D02CC"/>
    <w:rsid w:val="008D6B3A"/>
    <w:rsid w:val="008E4570"/>
    <w:rsid w:val="008F55E6"/>
    <w:rsid w:val="00906D1C"/>
    <w:rsid w:val="00917F95"/>
    <w:rsid w:val="00926221"/>
    <w:rsid w:val="009455B3"/>
    <w:rsid w:val="00970BAF"/>
    <w:rsid w:val="0097635F"/>
    <w:rsid w:val="00983436"/>
    <w:rsid w:val="009949EA"/>
    <w:rsid w:val="009A3B04"/>
    <w:rsid w:val="009B6F14"/>
    <w:rsid w:val="009D4F80"/>
    <w:rsid w:val="009E264F"/>
    <w:rsid w:val="009F108F"/>
    <w:rsid w:val="009F7DA5"/>
    <w:rsid w:val="00A13EE1"/>
    <w:rsid w:val="00A35EE0"/>
    <w:rsid w:val="00A57398"/>
    <w:rsid w:val="00A80294"/>
    <w:rsid w:val="00A9667B"/>
    <w:rsid w:val="00AB004F"/>
    <w:rsid w:val="00AB75CD"/>
    <w:rsid w:val="00AC65A5"/>
    <w:rsid w:val="00AC6A0E"/>
    <w:rsid w:val="00AC7E78"/>
    <w:rsid w:val="00AD0DC9"/>
    <w:rsid w:val="00B07744"/>
    <w:rsid w:val="00B12182"/>
    <w:rsid w:val="00B24CDC"/>
    <w:rsid w:val="00B328F3"/>
    <w:rsid w:val="00B8670B"/>
    <w:rsid w:val="00BA6571"/>
    <w:rsid w:val="00BB2F33"/>
    <w:rsid w:val="00BD593D"/>
    <w:rsid w:val="00BE20EB"/>
    <w:rsid w:val="00BF0191"/>
    <w:rsid w:val="00C3590C"/>
    <w:rsid w:val="00C80E65"/>
    <w:rsid w:val="00C81F44"/>
    <w:rsid w:val="00C81F8F"/>
    <w:rsid w:val="00C92A91"/>
    <w:rsid w:val="00C95E92"/>
    <w:rsid w:val="00CD7A89"/>
    <w:rsid w:val="00CE5AA1"/>
    <w:rsid w:val="00CF53D7"/>
    <w:rsid w:val="00CF6AC6"/>
    <w:rsid w:val="00D32B6B"/>
    <w:rsid w:val="00D37AA8"/>
    <w:rsid w:val="00D831F5"/>
    <w:rsid w:val="00DE270F"/>
    <w:rsid w:val="00E7408A"/>
    <w:rsid w:val="00E84E28"/>
    <w:rsid w:val="00E9292B"/>
    <w:rsid w:val="00E9317A"/>
    <w:rsid w:val="00E9426B"/>
    <w:rsid w:val="00EB7D79"/>
    <w:rsid w:val="00EC2E32"/>
    <w:rsid w:val="00EC535A"/>
    <w:rsid w:val="00EE2F05"/>
    <w:rsid w:val="00F01954"/>
    <w:rsid w:val="00F06F87"/>
    <w:rsid w:val="00F713AC"/>
    <w:rsid w:val="00FC2339"/>
    <w:rsid w:val="00FC3937"/>
    <w:rsid w:val="00FC3D97"/>
    <w:rsid w:val="00FD1ACF"/>
    <w:rsid w:val="011567B5"/>
    <w:rsid w:val="017D750F"/>
    <w:rsid w:val="01AD6E65"/>
    <w:rsid w:val="01E60403"/>
    <w:rsid w:val="01E747AB"/>
    <w:rsid w:val="02004352"/>
    <w:rsid w:val="02D558ED"/>
    <w:rsid w:val="03894596"/>
    <w:rsid w:val="038A505F"/>
    <w:rsid w:val="038B519F"/>
    <w:rsid w:val="03E870F8"/>
    <w:rsid w:val="046113AE"/>
    <w:rsid w:val="04BB5352"/>
    <w:rsid w:val="05280E7B"/>
    <w:rsid w:val="054E3D57"/>
    <w:rsid w:val="055A7639"/>
    <w:rsid w:val="056C08E4"/>
    <w:rsid w:val="05C27495"/>
    <w:rsid w:val="06010485"/>
    <w:rsid w:val="06130E41"/>
    <w:rsid w:val="06292DAC"/>
    <w:rsid w:val="069B30A3"/>
    <w:rsid w:val="06F95AAB"/>
    <w:rsid w:val="070C4F67"/>
    <w:rsid w:val="073641F0"/>
    <w:rsid w:val="076412D3"/>
    <w:rsid w:val="087668C8"/>
    <w:rsid w:val="088671E1"/>
    <w:rsid w:val="08954A39"/>
    <w:rsid w:val="09030318"/>
    <w:rsid w:val="09594F7D"/>
    <w:rsid w:val="09717ABB"/>
    <w:rsid w:val="09727309"/>
    <w:rsid w:val="09A4342A"/>
    <w:rsid w:val="09BC6D29"/>
    <w:rsid w:val="0A6612AF"/>
    <w:rsid w:val="0B0F0AF9"/>
    <w:rsid w:val="0B24284B"/>
    <w:rsid w:val="0B5711D0"/>
    <w:rsid w:val="0B764DAB"/>
    <w:rsid w:val="0B880A33"/>
    <w:rsid w:val="0D0A714B"/>
    <w:rsid w:val="0D4A50F7"/>
    <w:rsid w:val="0D5837F8"/>
    <w:rsid w:val="0DAA1056"/>
    <w:rsid w:val="0E5F3837"/>
    <w:rsid w:val="0E751F9D"/>
    <w:rsid w:val="0E893BD3"/>
    <w:rsid w:val="0E8B1F55"/>
    <w:rsid w:val="0EA05D40"/>
    <w:rsid w:val="0EF16C71"/>
    <w:rsid w:val="0EF5080A"/>
    <w:rsid w:val="0F2C321B"/>
    <w:rsid w:val="0F4E7C57"/>
    <w:rsid w:val="0F5734CC"/>
    <w:rsid w:val="0F6931D6"/>
    <w:rsid w:val="0FBF740B"/>
    <w:rsid w:val="0FE15E02"/>
    <w:rsid w:val="0FF75A54"/>
    <w:rsid w:val="108277B7"/>
    <w:rsid w:val="10912935"/>
    <w:rsid w:val="10F01C03"/>
    <w:rsid w:val="11084521"/>
    <w:rsid w:val="110D63B0"/>
    <w:rsid w:val="11391528"/>
    <w:rsid w:val="1170189F"/>
    <w:rsid w:val="118369C5"/>
    <w:rsid w:val="119C1100"/>
    <w:rsid w:val="11AD3182"/>
    <w:rsid w:val="11D759B1"/>
    <w:rsid w:val="125D1926"/>
    <w:rsid w:val="129C1FF4"/>
    <w:rsid w:val="134D4C15"/>
    <w:rsid w:val="13CE4EEB"/>
    <w:rsid w:val="13F4105C"/>
    <w:rsid w:val="13FC5F7D"/>
    <w:rsid w:val="146D12C1"/>
    <w:rsid w:val="15111EA8"/>
    <w:rsid w:val="15181A01"/>
    <w:rsid w:val="15727169"/>
    <w:rsid w:val="162529ED"/>
    <w:rsid w:val="16626B9D"/>
    <w:rsid w:val="175F1A09"/>
    <w:rsid w:val="17E123BF"/>
    <w:rsid w:val="18083104"/>
    <w:rsid w:val="18317C1E"/>
    <w:rsid w:val="183B2FDA"/>
    <w:rsid w:val="18BC2C6B"/>
    <w:rsid w:val="18C875CE"/>
    <w:rsid w:val="191B790F"/>
    <w:rsid w:val="19344304"/>
    <w:rsid w:val="196F1FC4"/>
    <w:rsid w:val="19DC3D32"/>
    <w:rsid w:val="1A086260"/>
    <w:rsid w:val="1AC60C3A"/>
    <w:rsid w:val="1ACD1152"/>
    <w:rsid w:val="1BFF7C32"/>
    <w:rsid w:val="1C4E7489"/>
    <w:rsid w:val="1D2104E0"/>
    <w:rsid w:val="1D693147"/>
    <w:rsid w:val="1DEB0C8B"/>
    <w:rsid w:val="1E205AE7"/>
    <w:rsid w:val="1EDE7327"/>
    <w:rsid w:val="1F2314EB"/>
    <w:rsid w:val="1F371D78"/>
    <w:rsid w:val="204B1C77"/>
    <w:rsid w:val="209407BB"/>
    <w:rsid w:val="20A13410"/>
    <w:rsid w:val="20FA6E13"/>
    <w:rsid w:val="21F93CD3"/>
    <w:rsid w:val="21FF20D9"/>
    <w:rsid w:val="22224ADC"/>
    <w:rsid w:val="223B5F51"/>
    <w:rsid w:val="22511CE6"/>
    <w:rsid w:val="22640B81"/>
    <w:rsid w:val="23057463"/>
    <w:rsid w:val="23150E52"/>
    <w:rsid w:val="23257A62"/>
    <w:rsid w:val="23722A34"/>
    <w:rsid w:val="250F2E85"/>
    <w:rsid w:val="252D44EC"/>
    <w:rsid w:val="25686D1C"/>
    <w:rsid w:val="26432395"/>
    <w:rsid w:val="26672CC9"/>
    <w:rsid w:val="269149C2"/>
    <w:rsid w:val="26B83D20"/>
    <w:rsid w:val="27347026"/>
    <w:rsid w:val="274D3E7D"/>
    <w:rsid w:val="27890B10"/>
    <w:rsid w:val="279E5124"/>
    <w:rsid w:val="27F172B7"/>
    <w:rsid w:val="28051EAA"/>
    <w:rsid w:val="28683D55"/>
    <w:rsid w:val="28C64123"/>
    <w:rsid w:val="293016AE"/>
    <w:rsid w:val="294835A4"/>
    <w:rsid w:val="2956543A"/>
    <w:rsid w:val="2A7F708F"/>
    <w:rsid w:val="2A987C99"/>
    <w:rsid w:val="2B1B436D"/>
    <w:rsid w:val="2B297AC7"/>
    <w:rsid w:val="2B932A2D"/>
    <w:rsid w:val="2BFC4037"/>
    <w:rsid w:val="2C065B70"/>
    <w:rsid w:val="2C1C0468"/>
    <w:rsid w:val="2C5A7ED3"/>
    <w:rsid w:val="2C646C79"/>
    <w:rsid w:val="2C7B58B4"/>
    <w:rsid w:val="2D7A0924"/>
    <w:rsid w:val="2E4970D2"/>
    <w:rsid w:val="2E7A1025"/>
    <w:rsid w:val="2EC353C6"/>
    <w:rsid w:val="2FE26618"/>
    <w:rsid w:val="30003C26"/>
    <w:rsid w:val="3075107B"/>
    <w:rsid w:val="30F54253"/>
    <w:rsid w:val="31052B65"/>
    <w:rsid w:val="31204D13"/>
    <w:rsid w:val="31357561"/>
    <w:rsid w:val="31980F0A"/>
    <w:rsid w:val="31B33FA3"/>
    <w:rsid w:val="31FC6492"/>
    <w:rsid w:val="328270F0"/>
    <w:rsid w:val="32D92E0C"/>
    <w:rsid w:val="33080E21"/>
    <w:rsid w:val="331039BB"/>
    <w:rsid w:val="333420E5"/>
    <w:rsid w:val="334C48BB"/>
    <w:rsid w:val="339C7372"/>
    <w:rsid w:val="34937FF8"/>
    <w:rsid w:val="34DD0526"/>
    <w:rsid w:val="35513EF5"/>
    <w:rsid w:val="3597742E"/>
    <w:rsid w:val="35E346AA"/>
    <w:rsid w:val="35FC613C"/>
    <w:rsid w:val="36511C87"/>
    <w:rsid w:val="36604868"/>
    <w:rsid w:val="366E1E95"/>
    <w:rsid w:val="369D5662"/>
    <w:rsid w:val="36F342CC"/>
    <w:rsid w:val="378417F9"/>
    <w:rsid w:val="38E97D9C"/>
    <w:rsid w:val="39336D46"/>
    <w:rsid w:val="39365C89"/>
    <w:rsid w:val="39E514C4"/>
    <w:rsid w:val="3A3E06C8"/>
    <w:rsid w:val="3A4764F4"/>
    <w:rsid w:val="3A4C4A55"/>
    <w:rsid w:val="3A73684C"/>
    <w:rsid w:val="3AA7247A"/>
    <w:rsid w:val="3C66142E"/>
    <w:rsid w:val="3D08460B"/>
    <w:rsid w:val="3D290BEE"/>
    <w:rsid w:val="3D426359"/>
    <w:rsid w:val="3D742373"/>
    <w:rsid w:val="3D94720E"/>
    <w:rsid w:val="3E5528FD"/>
    <w:rsid w:val="3EA25620"/>
    <w:rsid w:val="3F144D78"/>
    <w:rsid w:val="3F7C7C51"/>
    <w:rsid w:val="3F995A8E"/>
    <w:rsid w:val="3FA82243"/>
    <w:rsid w:val="3FE62F58"/>
    <w:rsid w:val="3FE66A30"/>
    <w:rsid w:val="3FF128DC"/>
    <w:rsid w:val="400918CA"/>
    <w:rsid w:val="40365EB6"/>
    <w:rsid w:val="404A7740"/>
    <w:rsid w:val="410242E9"/>
    <w:rsid w:val="41306CB3"/>
    <w:rsid w:val="41AB53AD"/>
    <w:rsid w:val="41CD37BD"/>
    <w:rsid w:val="42526979"/>
    <w:rsid w:val="42602D89"/>
    <w:rsid w:val="426930F5"/>
    <w:rsid w:val="427C15CA"/>
    <w:rsid w:val="42B9678F"/>
    <w:rsid w:val="42F143F3"/>
    <w:rsid w:val="432E683B"/>
    <w:rsid w:val="435E6F25"/>
    <w:rsid w:val="439D373A"/>
    <w:rsid w:val="44C72A8D"/>
    <w:rsid w:val="45C56107"/>
    <w:rsid w:val="462936CD"/>
    <w:rsid w:val="46512AE8"/>
    <w:rsid w:val="465875A0"/>
    <w:rsid w:val="46B15B52"/>
    <w:rsid w:val="47242499"/>
    <w:rsid w:val="47644F93"/>
    <w:rsid w:val="47D40EC0"/>
    <w:rsid w:val="4835642E"/>
    <w:rsid w:val="489177BA"/>
    <w:rsid w:val="489F7E5E"/>
    <w:rsid w:val="48C707D5"/>
    <w:rsid w:val="49484034"/>
    <w:rsid w:val="49810CF9"/>
    <w:rsid w:val="499A09F5"/>
    <w:rsid w:val="49E845A8"/>
    <w:rsid w:val="4A4F7DFE"/>
    <w:rsid w:val="4A9F2177"/>
    <w:rsid w:val="4AC30915"/>
    <w:rsid w:val="4AC400FC"/>
    <w:rsid w:val="4AE46116"/>
    <w:rsid w:val="4AED6A28"/>
    <w:rsid w:val="4B352E85"/>
    <w:rsid w:val="4BE34102"/>
    <w:rsid w:val="4BE411C9"/>
    <w:rsid w:val="4C2034F5"/>
    <w:rsid w:val="4C2B2B4F"/>
    <w:rsid w:val="4C5D5B61"/>
    <w:rsid w:val="4C677D46"/>
    <w:rsid w:val="4CFE660F"/>
    <w:rsid w:val="4D0D75D8"/>
    <w:rsid w:val="4D377D57"/>
    <w:rsid w:val="4D812C3F"/>
    <w:rsid w:val="4DAA6A2D"/>
    <w:rsid w:val="4DBC35FA"/>
    <w:rsid w:val="4DC0059D"/>
    <w:rsid w:val="4DD90318"/>
    <w:rsid w:val="4E3F025E"/>
    <w:rsid w:val="4E47333F"/>
    <w:rsid w:val="4E8F4018"/>
    <w:rsid w:val="4ED704E5"/>
    <w:rsid w:val="4F003E47"/>
    <w:rsid w:val="4F922160"/>
    <w:rsid w:val="503905EE"/>
    <w:rsid w:val="509074E4"/>
    <w:rsid w:val="51342DA4"/>
    <w:rsid w:val="513545B5"/>
    <w:rsid w:val="539B0F57"/>
    <w:rsid w:val="53DF2FFF"/>
    <w:rsid w:val="548017D1"/>
    <w:rsid w:val="54B20831"/>
    <w:rsid w:val="55125DB4"/>
    <w:rsid w:val="557F0F7E"/>
    <w:rsid w:val="55802221"/>
    <w:rsid w:val="559B7F10"/>
    <w:rsid w:val="55BB482B"/>
    <w:rsid w:val="56852D8C"/>
    <w:rsid w:val="57E0739B"/>
    <w:rsid w:val="58BC6AF5"/>
    <w:rsid w:val="58FE7191"/>
    <w:rsid w:val="59181D3E"/>
    <w:rsid w:val="59464B6F"/>
    <w:rsid w:val="59667106"/>
    <w:rsid w:val="59682840"/>
    <w:rsid w:val="5A1C5248"/>
    <w:rsid w:val="5AA82B7D"/>
    <w:rsid w:val="5AAE35E9"/>
    <w:rsid w:val="5AB03FF9"/>
    <w:rsid w:val="5AC5073E"/>
    <w:rsid w:val="5AD87639"/>
    <w:rsid w:val="5AE93049"/>
    <w:rsid w:val="5B23328A"/>
    <w:rsid w:val="5B6C0D9A"/>
    <w:rsid w:val="5BF700C8"/>
    <w:rsid w:val="5C1A2926"/>
    <w:rsid w:val="5C3A4AD1"/>
    <w:rsid w:val="5C9A4526"/>
    <w:rsid w:val="5C9F2291"/>
    <w:rsid w:val="5D75054B"/>
    <w:rsid w:val="5DE12BDE"/>
    <w:rsid w:val="5E7770E7"/>
    <w:rsid w:val="5E951F87"/>
    <w:rsid w:val="5F3D73A3"/>
    <w:rsid w:val="5F3E27B0"/>
    <w:rsid w:val="5F8145FE"/>
    <w:rsid w:val="5FB359D9"/>
    <w:rsid w:val="600464A1"/>
    <w:rsid w:val="60385977"/>
    <w:rsid w:val="6071041E"/>
    <w:rsid w:val="60A232D8"/>
    <w:rsid w:val="63776378"/>
    <w:rsid w:val="64866BB1"/>
    <w:rsid w:val="650B08C2"/>
    <w:rsid w:val="6542585E"/>
    <w:rsid w:val="655A179A"/>
    <w:rsid w:val="65CA2E87"/>
    <w:rsid w:val="664F6BB1"/>
    <w:rsid w:val="66541A89"/>
    <w:rsid w:val="66727203"/>
    <w:rsid w:val="66A72709"/>
    <w:rsid w:val="66B673BA"/>
    <w:rsid w:val="67227A8C"/>
    <w:rsid w:val="67C07F5F"/>
    <w:rsid w:val="67C255EA"/>
    <w:rsid w:val="68113657"/>
    <w:rsid w:val="68567E56"/>
    <w:rsid w:val="6888149D"/>
    <w:rsid w:val="69476471"/>
    <w:rsid w:val="6A103A50"/>
    <w:rsid w:val="6A2F0C62"/>
    <w:rsid w:val="6AA14368"/>
    <w:rsid w:val="6AD4484C"/>
    <w:rsid w:val="6AD645BD"/>
    <w:rsid w:val="6B3E7991"/>
    <w:rsid w:val="6B5020C1"/>
    <w:rsid w:val="6B75737C"/>
    <w:rsid w:val="6C3F073E"/>
    <w:rsid w:val="6CD54AEB"/>
    <w:rsid w:val="6D04704D"/>
    <w:rsid w:val="6D96073F"/>
    <w:rsid w:val="6DCD5D2D"/>
    <w:rsid w:val="6E0110B8"/>
    <w:rsid w:val="6E02095E"/>
    <w:rsid w:val="6E4C109F"/>
    <w:rsid w:val="6E600234"/>
    <w:rsid w:val="6E620FFA"/>
    <w:rsid w:val="6EB57D05"/>
    <w:rsid w:val="6EC4342A"/>
    <w:rsid w:val="6F6A64DD"/>
    <w:rsid w:val="6FB4683E"/>
    <w:rsid w:val="7011765B"/>
    <w:rsid w:val="70C32ADF"/>
    <w:rsid w:val="7119311C"/>
    <w:rsid w:val="716770ED"/>
    <w:rsid w:val="71887B22"/>
    <w:rsid w:val="71E85D3F"/>
    <w:rsid w:val="72437CD2"/>
    <w:rsid w:val="72625092"/>
    <w:rsid w:val="7277756F"/>
    <w:rsid w:val="72A10C2D"/>
    <w:rsid w:val="73BE7CEC"/>
    <w:rsid w:val="73D519EA"/>
    <w:rsid w:val="73DC382F"/>
    <w:rsid w:val="741F371E"/>
    <w:rsid w:val="74624FF7"/>
    <w:rsid w:val="7476588E"/>
    <w:rsid w:val="748D2097"/>
    <w:rsid w:val="74930744"/>
    <w:rsid w:val="750C3C92"/>
    <w:rsid w:val="75283B25"/>
    <w:rsid w:val="75622C87"/>
    <w:rsid w:val="758D5C0C"/>
    <w:rsid w:val="761018D3"/>
    <w:rsid w:val="765C4ABB"/>
    <w:rsid w:val="766508A4"/>
    <w:rsid w:val="76C202A2"/>
    <w:rsid w:val="770A27E7"/>
    <w:rsid w:val="77124756"/>
    <w:rsid w:val="775409B7"/>
    <w:rsid w:val="77801E36"/>
    <w:rsid w:val="77887775"/>
    <w:rsid w:val="77B71B76"/>
    <w:rsid w:val="786653CC"/>
    <w:rsid w:val="795569DB"/>
    <w:rsid w:val="79A706A8"/>
    <w:rsid w:val="7A1946EB"/>
    <w:rsid w:val="7AC50DF3"/>
    <w:rsid w:val="7AFC119E"/>
    <w:rsid w:val="7B312326"/>
    <w:rsid w:val="7BD62D4E"/>
    <w:rsid w:val="7BDF546D"/>
    <w:rsid w:val="7BF613AA"/>
    <w:rsid w:val="7C501B69"/>
    <w:rsid w:val="7CE97607"/>
    <w:rsid w:val="7D4004F2"/>
    <w:rsid w:val="7EAF2513"/>
    <w:rsid w:val="7F073EC8"/>
    <w:rsid w:val="7F5F4208"/>
    <w:rsid w:val="7F743DCE"/>
    <w:rsid w:val="7F7A1DF0"/>
    <w:rsid w:val="7FD9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1250</Words>
  <Characters>7125</Characters>
  <Lines>59</Lines>
  <Paragraphs>16</Paragraphs>
  <TotalTime>152</TotalTime>
  <ScaleCrop>false</ScaleCrop>
  <LinksUpToDate>false</LinksUpToDate>
  <CharactersWithSpaces>8359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2021-09-08T08:26:00Z</dcterms:created>
  <dc:creator>admin</dc:creator>
  <cp:lastModifiedBy>温柔一刀</cp:lastModifiedBy>
  <dcterms:modified xsi:type="dcterms:W3CDTF">2021-09-08T15:48:14Z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0B191A9AD88F4A71A790E5799076B606</vt:lpwstr>
  </property>
</Properties>
</file>