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273F" w14:textId="0E2B0D99" w:rsidR="00FB6599" w:rsidRPr="00FB6599" w:rsidRDefault="00FB6599" w:rsidP="00FB6599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FB6599">
        <w:rPr>
          <w:rFonts w:asciiTheme="minorEastAsia" w:eastAsiaTheme="minorEastAsia" w:hAnsiTheme="minorEastAsia" w:hint="eastAsia"/>
          <w:sz w:val="24"/>
        </w:rPr>
        <w:t xml:space="preserve">证券代码：601528    </w:t>
      </w:r>
      <w:r w:rsidR="001D1362">
        <w:rPr>
          <w:rFonts w:asciiTheme="minorEastAsia" w:eastAsiaTheme="minorEastAsia" w:hAnsiTheme="minorEastAsia"/>
          <w:sz w:val="24"/>
        </w:rPr>
        <w:t xml:space="preserve">         </w:t>
      </w:r>
      <w:r w:rsidRPr="00FB6599">
        <w:rPr>
          <w:rFonts w:asciiTheme="minorEastAsia" w:eastAsiaTheme="minorEastAsia" w:hAnsiTheme="minorEastAsia" w:hint="eastAsia"/>
          <w:sz w:val="24"/>
        </w:rPr>
        <w:t xml:space="preserve">  </w:t>
      </w:r>
      <w:r w:rsidR="00EE0786">
        <w:rPr>
          <w:rFonts w:asciiTheme="minorEastAsia" w:eastAsiaTheme="minorEastAsia" w:hAnsiTheme="minorEastAsia" w:hint="eastAsia"/>
          <w:sz w:val="24"/>
        </w:rPr>
        <w:t xml:space="preserve">               </w:t>
      </w:r>
      <w:r w:rsidRPr="00FB6599">
        <w:rPr>
          <w:rFonts w:asciiTheme="minorEastAsia" w:eastAsiaTheme="minorEastAsia" w:hAnsiTheme="minorEastAsia" w:hint="eastAsia"/>
          <w:sz w:val="24"/>
        </w:rPr>
        <w:t>证券简称：瑞丰银行</w:t>
      </w:r>
    </w:p>
    <w:p w14:paraId="68DE4C5D" w14:textId="77777777" w:rsidR="00FB6599" w:rsidRPr="00EE0786" w:rsidRDefault="00FB6599" w:rsidP="00FB6599">
      <w:pPr>
        <w:spacing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332479A2" w14:textId="77777777" w:rsidR="00B175E4" w:rsidRPr="00FB6599" w:rsidRDefault="003D326B" w:rsidP="00FB6599">
      <w:pPr>
        <w:spacing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B6599">
        <w:rPr>
          <w:rFonts w:ascii="方正小标宋简体" w:eastAsia="方正小标宋简体" w:hAnsi="黑体" w:hint="eastAsia"/>
          <w:sz w:val="32"/>
          <w:szCs w:val="32"/>
        </w:rPr>
        <w:t>浙江绍兴瑞</w:t>
      </w:r>
      <w:proofErr w:type="gramStart"/>
      <w:r w:rsidRPr="00FB6599">
        <w:rPr>
          <w:rFonts w:ascii="方正小标宋简体" w:eastAsia="方正小标宋简体" w:hAnsi="黑体" w:hint="eastAsia"/>
          <w:sz w:val="32"/>
          <w:szCs w:val="32"/>
        </w:rPr>
        <w:t>丰</w:t>
      </w:r>
      <w:r w:rsidR="0036242B" w:rsidRPr="00FB6599">
        <w:rPr>
          <w:rFonts w:ascii="方正小标宋简体" w:eastAsia="方正小标宋简体" w:hAnsi="黑体" w:hint="eastAsia"/>
          <w:sz w:val="32"/>
          <w:szCs w:val="32"/>
        </w:rPr>
        <w:t>农村</w:t>
      </w:r>
      <w:proofErr w:type="gramEnd"/>
      <w:r w:rsidR="0036242B" w:rsidRPr="00FB6599">
        <w:rPr>
          <w:rFonts w:ascii="方正小标宋简体" w:eastAsia="方正小标宋简体" w:hAnsi="黑体" w:hint="eastAsia"/>
          <w:sz w:val="32"/>
          <w:szCs w:val="32"/>
        </w:rPr>
        <w:t>商业银行股份有限公司</w:t>
      </w:r>
    </w:p>
    <w:p w14:paraId="195AFA45" w14:textId="77777777" w:rsidR="00B175E4" w:rsidRPr="00FB6599" w:rsidRDefault="0036242B" w:rsidP="00194101">
      <w:pPr>
        <w:spacing w:beforeLines="50" w:before="156" w:afterLines="50" w:after="156" w:line="400" w:lineRule="exact"/>
        <w:jc w:val="center"/>
        <w:rPr>
          <w:rFonts w:ascii="方正小标宋简体" w:eastAsia="方正小标宋简体" w:hAnsi="黑体"/>
          <w:bCs/>
          <w:iCs/>
          <w:color w:val="000000"/>
          <w:sz w:val="32"/>
          <w:szCs w:val="32"/>
        </w:rPr>
      </w:pPr>
      <w:r w:rsidRPr="00FB6599">
        <w:rPr>
          <w:rFonts w:ascii="方正小标宋简体" w:eastAsia="方正小标宋简体" w:hAnsi="黑体" w:hint="eastAsia"/>
          <w:bCs/>
          <w:iCs/>
          <w:color w:val="000000"/>
          <w:sz w:val="32"/>
          <w:szCs w:val="32"/>
        </w:rPr>
        <w:t>投资者关系活动记录表</w:t>
      </w:r>
    </w:p>
    <w:p w14:paraId="523FE84E" w14:textId="4A151707" w:rsidR="00B175E4" w:rsidRDefault="0036242B">
      <w:pPr>
        <w:spacing w:line="400" w:lineRule="exact"/>
        <w:ind w:firstLineChars="2100" w:firstLine="5040"/>
        <w:rPr>
          <w:rFonts w:ascii="宋体" w:eastAsia="宋体" w:hAnsi="宋体"/>
          <w:bCs/>
          <w:iCs/>
          <w:color w:val="000000"/>
          <w:sz w:val="24"/>
        </w:rPr>
      </w:pP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日期：2021年 </w:t>
      </w:r>
      <w:r w:rsidR="00344ADE">
        <w:rPr>
          <w:rFonts w:ascii="宋体" w:eastAsia="宋体" w:hAnsi="宋体"/>
          <w:bCs/>
          <w:iCs/>
          <w:color w:val="000000"/>
          <w:sz w:val="24"/>
        </w:rPr>
        <w:t>9</w:t>
      </w:r>
      <w:r>
        <w:rPr>
          <w:rFonts w:ascii="宋体" w:eastAsia="宋体" w:hAnsi="宋体" w:hint="eastAsia"/>
          <w:bCs/>
          <w:iCs/>
          <w:color w:val="000000"/>
          <w:sz w:val="24"/>
        </w:rPr>
        <w:t>月</w:t>
      </w:r>
      <w:r w:rsidR="00344ADE">
        <w:rPr>
          <w:rFonts w:ascii="宋体" w:eastAsia="宋体" w:hAnsi="宋体"/>
          <w:bCs/>
          <w:iCs/>
          <w:color w:val="000000"/>
          <w:sz w:val="24"/>
        </w:rPr>
        <w:t>14</w:t>
      </w:r>
      <w:r>
        <w:rPr>
          <w:rFonts w:ascii="宋体" w:eastAsia="宋体" w:hAnsi="宋体" w:hint="eastAsia"/>
          <w:bCs/>
          <w:iCs/>
          <w:color w:val="000000"/>
          <w:sz w:val="24"/>
        </w:rPr>
        <w:t xml:space="preserve">日                                                        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7129"/>
      </w:tblGrid>
      <w:tr w:rsidR="00B175E4" w14:paraId="5D31F1A6" w14:textId="77777777" w:rsidTr="002C0F6D">
        <w:trPr>
          <w:trHeight w:val="1511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DDC" w14:textId="77777777" w:rsidR="00B175E4" w:rsidRPr="00FB6599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5D8" w14:textId="77777777" w:rsidR="00B175E4" w:rsidRDefault="0036242B" w:rsidP="00FB6599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 xml:space="preserve">特定对象调研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分析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师会议</w:t>
            </w:r>
            <w:proofErr w:type="gramEnd"/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14:paraId="2617524D" w14:textId="77777777" w:rsidR="00B175E4" w:rsidRDefault="0036242B" w:rsidP="00FB6599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14:paraId="67BD1DED" w14:textId="77777777" w:rsidR="00B175E4" w:rsidRDefault="0036242B" w:rsidP="00FB6599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B175E4" w14:paraId="14030B49" w14:textId="77777777" w:rsidTr="002C0F6D">
        <w:trPr>
          <w:trHeight w:val="697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45D" w14:textId="77777777" w:rsidR="00B175E4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5AC" w14:textId="5BF06AB4" w:rsidR="00B175E4" w:rsidRDefault="00345010" w:rsidP="00FB6599">
            <w:pPr>
              <w:spacing w:line="360" w:lineRule="auto"/>
              <w:rPr>
                <w:rFonts w:ascii="宋体" w:eastAsia="宋体" w:hAnsi="宋体" w:cs="宋体"/>
                <w:bCs/>
                <w:i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华泰</w:t>
            </w:r>
            <w:r w:rsidR="003D326B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证券、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易方达</w:t>
            </w:r>
            <w:r w:rsidR="003D326B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基金、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博时基金、</w:t>
            </w:r>
            <w:proofErr w:type="gramStart"/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中庚基金</w:t>
            </w:r>
            <w:proofErr w:type="gramEnd"/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、中银基金、中金基金、拾贝投资、银华基金</w:t>
            </w:r>
          </w:p>
        </w:tc>
      </w:tr>
      <w:tr w:rsidR="00B175E4" w14:paraId="3AE355A9" w14:textId="77777777" w:rsidTr="001B07BA">
        <w:trPr>
          <w:trHeight w:val="596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B67A" w14:textId="77777777" w:rsidR="00B175E4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0B0" w14:textId="0EB00F38" w:rsidR="00B175E4" w:rsidRDefault="0036242B" w:rsidP="00FB6599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2021年</w:t>
            </w:r>
            <w:r w:rsidR="00345010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345010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日</w:t>
            </w:r>
            <w:r w:rsid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上</w:t>
            </w:r>
            <w:r w:rsidR="003D326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午</w:t>
            </w:r>
            <w:r w:rsidR="00A72193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：</w:t>
            </w:r>
            <w:r w:rsidR="00E074A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  <w:r w:rsidR="00345010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9</w:t>
            </w:r>
            <w:r w:rsidR="00E074A9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345010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  <w:r w:rsid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——</w:t>
            </w:r>
            <w:r w:rsidR="002914DF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1</w:t>
            </w:r>
            <w:r w:rsidR="00345010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1</w:t>
            </w:r>
            <w:r w:rsidR="000A40A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2914DF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30</w:t>
            </w:r>
          </w:p>
        </w:tc>
      </w:tr>
      <w:tr w:rsidR="00B175E4" w14:paraId="311812C1" w14:textId="77777777" w:rsidTr="001B07BA">
        <w:trPr>
          <w:trHeight w:val="5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74D" w14:textId="77777777" w:rsidR="00B175E4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5D3" w14:textId="29348624" w:rsidR="00B175E4" w:rsidRDefault="003D326B" w:rsidP="00FB6599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瑞丰大厦</w:t>
            </w:r>
            <w:r w:rsidR="0034501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三楼三号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会议室（</w:t>
            </w:r>
            <w:r w:rsidR="00142EDC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现场交流</w:t>
            </w:r>
            <w:r w:rsidR="0034501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和电话会议相结合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）</w:t>
            </w:r>
          </w:p>
        </w:tc>
      </w:tr>
      <w:tr w:rsidR="00B175E4" w:rsidRPr="00345010" w14:paraId="5A4CD23B" w14:textId="77777777" w:rsidTr="002C0F6D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B50" w14:textId="77777777" w:rsidR="00B175E4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D54" w14:textId="764FD477" w:rsidR="00B175E4" w:rsidRPr="00345010" w:rsidRDefault="003D326B" w:rsidP="0058032C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瑞丰银行</w:t>
            </w:r>
            <w:r w:rsidR="0036242B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董事会秘书</w:t>
            </w:r>
            <w:r w:rsidR="00BC73A4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吴光伟</w:t>
            </w:r>
            <w:r w:rsidR="007422FA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58032C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首席财务官</w:t>
            </w:r>
            <w:r w:rsidR="00345010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郭利根</w:t>
            </w:r>
            <w:r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、相关部门负责人</w:t>
            </w:r>
            <w:r w:rsidR="00937B91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等</w:t>
            </w:r>
            <w:r w:rsidR="00BC73A4" w:rsidRPr="0034501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B175E4" w14:paraId="49BB5F96" w14:textId="77777777" w:rsidTr="002C0F6D">
        <w:trPr>
          <w:trHeight w:val="889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EDE" w14:textId="77777777" w:rsidR="00B175E4" w:rsidRDefault="0036242B" w:rsidP="00FB659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7E4" w14:textId="77777777" w:rsidR="00B175E4" w:rsidRDefault="0036242B" w:rsidP="004878BD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B175E4" w14:paraId="698D02BD" w14:textId="77777777" w:rsidTr="002C0F6D">
        <w:trPr>
          <w:trHeight w:val="4526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DC7" w14:textId="77777777" w:rsidR="00B175E4" w:rsidRDefault="0036242B" w:rsidP="00A0514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调研</w:t>
            </w:r>
            <w:r w:rsidR="00A05146"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内容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E6E" w14:textId="03A14A03" w:rsidR="00262A43" w:rsidRPr="000B4106" w:rsidRDefault="00262A43" w:rsidP="00EE078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C367F5" w:rsidRPr="000B4106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2C368A" w:rsidRPr="000B4106">
              <w:rPr>
                <w:rFonts w:asciiTheme="minorEastAsia" w:eastAsiaTheme="minorEastAsia" w:hAnsiTheme="minorEastAsia" w:hint="eastAsia"/>
                <w:sz w:val="24"/>
              </w:rPr>
              <w:t>贵行制造业贷款</w:t>
            </w:r>
            <w:proofErr w:type="gramStart"/>
            <w:r w:rsidR="002C368A" w:rsidRPr="000B4106">
              <w:rPr>
                <w:rFonts w:asciiTheme="minorEastAsia" w:eastAsiaTheme="minorEastAsia" w:hAnsiTheme="minorEastAsia" w:hint="eastAsia"/>
                <w:sz w:val="24"/>
              </w:rPr>
              <w:t>占比较</w:t>
            </w:r>
            <w:proofErr w:type="gramEnd"/>
            <w:r w:rsidR="002C368A" w:rsidRPr="000B4106">
              <w:rPr>
                <w:rFonts w:asciiTheme="minorEastAsia" w:eastAsiaTheme="minorEastAsia" w:hAnsiTheme="minorEastAsia" w:hint="eastAsia"/>
                <w:sz w:val="24"/>
              </w:rPr>
              <w:t>高，且以纺织业为主，未来转型压力如何？</w:t>
            </w:r>
            <w:r w:rsidR="00C367F5" w:rsidRPr="000B4106">
              <w:rPr>
                <w:rFonts w:asciiTheme="minorEastAsia" w:eastAsiaTheme="minorEastAsia" w:hAnsiTheme="minorEastAsia" w:hint="eastAsia"/>
                <w:sz w:val="24"/>
              </w:rPr>
              <w:t>先进制造业</w:t>
            </w:r>
            <w:r w:rsidR="002C368A" w:rsidRPr="000B4106">
              <w:rPr>
                <w:rFonts w:asciiTheme="minorEastAsia" w:eastAsiaTheme="minorEastAsia" w:hAnsiTheme="minorEastAsia" w:hint="eastAsia"/>
                <w:sz w:val="24"/>
              </w:rPr>
              <w:t>投放有何具体思路？</w:t>
            </w:r>
            <w:r w:rsidR="00486C6C" w:rsidRPr="000B4106">
              <w:rPr>
                <w:rFonts w:asciiTheme="minorEastAsia" w:eastAsiaTheme="minorEastAsia" w:hAnsiTheme="minorEastAsia" w:hint="eastAsia"/>
                <w:sz w:val="24"/>
              </w:rPr>
              <w:t>贷款投放模式主要包括？</w:t>
            </w:r>
            <w:r w:rsidR="002C368A" w:rsidRPr="000B4106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068BFB65" w14:textId="6EAAF4A7" w:rsidR="00C367F5" w:rsidRPr="000B4106" w:rsidRDefault="00C367F5" w:rsidP="00EE078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柯桥地区的产业特点决定了我行的制造业贷款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占比较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高且以纺织业为主的现状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。由于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制造业目前是国家重点扶持行业，柯桥区也在积极推进产业结构调整、升级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主要包括：加快补齐各领域短板，扩大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重大科创平台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、战略性新兴产业、现代化产业链投资；积极谋划推进健康岛、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数智港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、临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空经济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先导区、福全产业新城、杭州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湾未来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科学城等万亩产业发展空间；加快重大基础设施项目建设，扩大企业设备更新和技术改造投资。</w:t>
            </w:r>
            <w:r w:rsidR="00A60267" w:rsidRPr="000B4106">
              <w:rPr>
                <w:rFonts w:asciiTheme="minorEastAsia" w:eastAsiaTheme="minorEastAsia" w:hAnsiTheme="minorEastAsia" w:hint="eastAsia"/>
                <w:sz w:val="24"/>
              </w:rPr>
              <w:t>这些大转型、大投资为我行信贷结构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的优化创造了良好条件</w:t>
            </w:r>
            <w:r w:rsidR="00A60267" w:rsidRPr="000B410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30EB6DF4" w14:textId="5BC05443" w:rsidR="00486C6C" w:rsidRPr="000B4106" w:rsidRDefault="00486C6C" w:rsidP="00486C6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我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行先进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制</w:t>
            </w:r>
            <w:r w:rsidR="00A60267" w:rsidRPr="000B4106">
              <w:rPr>
                <w:rFonts w:asciiTheme="minorEastAsia" w:eastAsiaTheme="minorEastAsia" w:hAnsiTheme="minorEastAsia" w:hint="eastAsia"/>
                <w:sz w:val="24"/>
              </w:rPr>
              <w:t>造业投放具体思路：我行将根据区域经济转型升级的实际情况，逐步改变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制造业中纺织业为主的现状。去年以来，柯桥区开展“322制造业发展步鱼计划”，即通过3-5年努力建立以现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代纺织、现代住建、黄酒3大重点制造集群为支撑；时尚产业、智能制造2大优势制造业为主攻方向；新材料、生物医药2大新兴产业为发展方向的现代制造业高质量发展新体系。未来3-5年我行</w:t>
            </w:r>
            <w:r w:rsidR="00A60267" w:rsidRPr="000B4106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将与区域经济发展同频共振，加大上述产业信贷投放力度，逐步降低纺织业占比。</w:t>
            </w:r>
          </w:p>
          <w:p w14:paraId="031ED4CF" w14:textId="3F1E2E5A" w:rsidR="00486C6C" w:rsidRPr="000B4106" w:rsidRDefault="00486C6C" w:rsidP="00486C6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我行贷款投放模式主要包括：一是小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微企业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贷款以线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上模式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为主，与大数据中心对接，以数据驱动业务发展，重点通过小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微易贷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、关贸E贷等线上产品，提高竞争力；二是设立“企业信用库”，实现小微企业、初创企业的批量服务；三是利用“三分三看三重”小微技术操作模式，实现同传统的小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微企业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不同的信评路径，进一步拓展了我们的客户服务空间；四是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对于科创企业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，进一步调整评估模型，加大推广“人才通”、“上市贷”等产品，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提升科创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企业的可获得性；五是辖区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内客户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经理每周驻点办公，即时办理业务。我们推出的“百园工程”项目解决了小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客户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贷款难、贷款慢的问题，比如2020年疫情期间，我们16天时间就发放了37.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7亿支小再贷款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，创造了一项全省纪录。</w:t>
            </w:r>
          </w:p>
          <w:p w14:paraId="39514A97" w14:textId="77777777" w:rsidR="00667B33" w:rsidRPr="000B4106" w:rsidRDefault="00C367F5" w:rsidP="00EE078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0B4106">
              <w:rPr>
                <w:rFonts w:asciiTheme="minorEastAsia" w:eastAsiaTheme="minorEastAsia" w:hAnsiTheme="minorEastAsia"/>
                <w:sz w:val="24"/>
              </w:rPr>
              <w:t>.</w:t>
            </w:r>
            <w:r w:rsidR="00A904C8" w:rsidRPr="000B4106">
              <w:rPr>
                <w:rFonts w:ascii="仿宋_GB2312" w:eastAsia="仿宋_GB2312" w:hAnsi="楷体" w:cs="Calibri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="00A904C8" w:rsidRPr="000B4106">
              <w:rPr>
                <w:rFonts w:asciiTheme="minorEastAsia" w:eastAsiaTheme="minorEastAsia" w:hAnsiTheme="minorEastAsia" w:hint="eastAsia"/>
                <w:sz w:val="24"/>
              </w:rPr>
              <w:t>2020年以来贵行小</w:t>
            </w:r>
            <w:proofErr w:type="gramStart"/>
            <w:r w:rsidR="00A904C8" w:rsidRPr="000B4106">
              <w:rPr>
                <w:rFonts w:asciiTheme="minorEastAsia" w:eastAsiaTheme="minorEastAsia" w:hAnsiTheme="minorEastAsia" w:hint="eastAsia"/>
                <w:sz w:val="24"/>
              </w:rPr>
              <w:t>微业务</w:t>
            </w:r>
            <w:proofErr w:type="gramEnd"/>
            <w:r w:rsidR="00A904C8" w:rsidRPr="000B4106">
              <w:rPr>
                <w:rFonts w:asciiTheme="minorEastAsia" w:eastAsiaTheme="minorEastAsia" w:hAnsiTheme="minorEastAsia" w:hint="eastAsia"/>
                <w:sz w:val="24"/>
              </w:rPr>
              <w:t>开展情况如何？如何应对来自大行的竞争压力？</w:t>
            </w:r>
          </w:p>
          <w:p w14:paraId="7EA766E2" w14:textId="0366E93B" w:rsidR="00A904C8" w:rsidRPr="000B4106" w:rsidRDefault="00A904C8" w:rsidP="00A904C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自去年疫情以来，我行依托于5000亿再贷款、10000亿再贷款和两项工具的政策，按照“全面走访、应放尽放”的要求，着重加大对有序复产、外贸、商贸三产等行业的金融支持力度，将信贷资金重点投放至外贸出口、生产制造、文化旅游、住宿餐饮、交通运输等受疫情影响较大的行业以及智能制造、在线消费、无人配送、医疗健康等新兴产业，同时加大对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微企业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的扶持力度。2021年以来，由于国内疫情企稳，出口好转，本行小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微业务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较上年有所提升。</w:t>
            </w:r>
          </w:p>
          <w:p w14:paraId="7722D8BF" w14:textId="53234816" w:rsidR="00A904C8" w:rsidRPr="000B4106" w:rsidRDefault="00A904C8" w:rsidP="00A904C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面对大行的竞争压力，我行有如下竞争优势和措施：一是机制优势。瑞丰银行作为地方法人机构，有决策链条短的机制优势，有利于我们创新经营机制和服务模式，提高精准服务、灵活服务、贴心服务和普惠服务的能力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二是网点优势。瑞丰银行在辖区内有106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网点，同时还有近400家村级便民服务点，我们还和柯桥区42家政府部门合作，建立了“银政联盟1+N”模式，通过引进政府数据+政务服务，可以在网点为老百姓提供近百项金融+政务服务，这是其他银行不能比拟的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三是人和优势。瑞丰银行历经多年发展，奠定了人缘、地缘、情缘优势，</w:t>
            </w:r>
            <w:r w:rsidR="00C36A8A">
              <w:rPr>
                <w:rFonts w:asciiTheme="minorEastAsia" w:eastAsiaTheme="minorEastAsia" w:hAnsiTheme="minorEastAsia" w:hint="eastAsia"/>
                <w:sz w:val="24"/>
              </w:rPr>
              <w:t>这三大优势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归根到底就是“人和”。如今年</w:t>
            </w:r>
            <w:r w:rsidR="000B4106" w:rsidRPr="000B4106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我们和柯桥区委组织部联合建立了“两员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顾问”机制，派出132名驻村金融指导员、金融特派员，创新落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实习近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平总书记在浙江工作期间驻村指导员批示精神，实行每周走访，助力三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农小微走向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共同富裕之路。</w:t>
            </w:r>
          </w:p>
          <w:p w14:paraId="5491E910" w14:textId="49331D56" w:rsidR="00A904C8" w:rsidRPr="000B4106" w:rsidRDefault="00A75E6E" w:rsidP="00EE078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0B4106">
              <w:rPr>
                <w:rFonts w:asciiTheme="minorEastAsia" w:eastAsiaTheme="minorEastAsia" w:hAnsiTheme="minorEastAsia"/>
                <w:sz w:val="24"/>
              </w:rPr>
              <w:t>.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 xml:space="preserve"> 贵行2021年资产质量如何展望？有哪些主要的风险点？</w:t>
            </w:r>
          </w:p>
          <w:p w14:paraId="140080CF" w14:textId="54EDF398" w:rsidR="00A75E6E" w:rsidRPr="000B4106" w:rsidRDefault="00A75E6E" w:rsidP="00A6026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从外部环境来看，今年以来，区域经济运行延续稳定恢复的良好态势，工业经济稳中有升</w:t>
            </w:r>
            <w:r w:rsidR="00FD1680" w:rsidRPr="000B410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投资持续稳定恢复</w:t>
            </w:r>
            <w:r w:rsidR="00FD1680" w:rsidRPr="000B410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消费延续恢复态势</w:t>
            </w:r>
            <w:r w:rsidR="00FD1680" w:rsidRPr="000B410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外贸出口增势良好。良好的政策环境、产业结构、完整产业链和成熟企业家，为我行资产质量改善、优化提供了良好</w:t>
            </w:r>
            <w:r w:rsidR="00FD1680" w:rsidRPr="000B4106">
              <w:rPr>
                <w:rFonts w:asciiTheme="minorEastAsia" w:eastAsiaTheme="minorEastAsia" w:hAnsiTheme="minorEastAsia" w:hint="eastAsia"/>
                <w:sz w:val="24"/>
              </w:rPr>
              <w:t>外部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环境</w:t>
            </w:r>
            <w:bookmarkStart w:id="0" w:name="_Hlk76284383"/>
            <w:r w:rsidR="00FD1680" w:rsidRPr="000B4106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从内部来看，近年来我行不断完善内控</w:t>
            </w:r>
            <w:r w:rsidR="00A60267" w:rsidRPr="000B4106">
              <w:rPr>
                <w:rFonts w:asciiTheme="minorEastAsia" w:eastAsiaTheme="minorEastAsia" w:hAnsiTheme="minorEastAsia" w:hint="eastAsia"/>
                <w:sz w:val="24"/>
              </w:rPr>
              <w:t>制度、优化业务流程、强化风险管控，不断加大不良贷款清收处置力度。我行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2021年6月末不良贷款率为1.29%，较上年末减少0.03个百分点，拨备覆盖率为247.83%，较上年末增加13.42个百分点。总体来看，本行不良率整体保持稳中有降，拨备覆盖率逐年上升。2021年我行资产质量将保持平稳向好态势。</w:t>
            </w:r>
            <w:bookmarkEnd w:id="0"/>
          </w:p>
          <w:p w14:paraId="40C891C5" w14:textId="638202BF" w:rsidR="00A75E6E" w:rsidRPr="000B4106" w:rsidRDefault="00A75E6E" w:rsidP="00D4279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B4106">
              <w:rPr>
                <w:rFonts w:asciiTheme="minorEastAsia" w:eastAsiaTheme="minorEastAsia" w:hAnsiTheme="minorEastAsia" w:hint="eastAsia"/>
                <w:sz w:val="24"/>
              </w:rPr>
              <w:t>从上半年情况看，内外部运行环境没有出现大的变化，但原材料及大宗商品价格上涨，外汇汇率变动会对区域内企业，特别是外贸企业的资金和利润产生一定影响，后续随着国外疫情逐步控制消费需求逐步恢复，外贸出口将会增长，相关影响会逐步平稳。我行目前面对的主要风险点有：贷款客户以小</w:t>
            </w:r>
            <w:proofErr w:type="gramStart"/>
            <w:r w:rsidRPr="000B4106">
              <w:rPr>
                <w:rFonts w:asciiTheme="minorEastAsia" w:eastAsiaTheme="minorEastAsia" w:hAnsiTheme="minorEastAsia" w:hint="eastAsia"/>
                <w:sz w:val="24"/>
              </w:rPr>
              <w:t>微企业</w:t>
            </w:r>
            <w:proofErr w:type="gramEnd"/>
            <w:r w:rsidRPr="000B4106">
              <w:rPr>
                <w:rFonts w:asciiTheme="minorEastAsia" w:eastAsiaTheme="minorEastAsia" w:hAnsiTheme="minorEastAsia" w:hint="eastAsia"/>
                <w:sz w:val="24"/>
              </w:rPr>
              <w:t>为主，规模较小、抗风险能力较低；客户贷款主要集中于绍兴市，对本地的经济增长依赖较大</w:t>
            </w:r>
            <w:r w:rsidR="003344F4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0B4106">
              <w:rPr>
                <w:rFonts w:asciiTheme="minorEastAsia" w:eastAsiaTheme="minorEastAsia" w:hAnsiTheme="minorEastAsia" w:hint="eastAsia"/>
                <w:sz w:val="24"/>
              </w:rPr>
              <w:t>贷款行业集中度较高。</w:t>
            </w:r>
          </w:p>
        </w:tc>
      </w:tr>
    </w:tbl>
    <w:p w14:paraId="61AEF422" w14:textId="77777777" w:rsidR="00C007CF" w:rsidRPr="00470F27" w:rsidRDefault="00C007CF" w:rsidP="00A60267">
      <w:pPr>
        <w:spacing w:beforeLines="50" w:before="156" w:afterLines="50" w:after="156"/>
        <w:jc w:val="left"/>
        <w:rPr>
          <w:rFonts w:ascii="仿宋_GB2312" w:eastAsia="仿宋_GB2312"/>
          <w:sz w:val="28"/>
          <w:szCs w:val="28"/>
        </w:rPr>
      </w:pPr>
    </w:p>
    <w:sectPr w:rsidR="00C007CF" w:rsidRPr="00470F27" w:rsidSect="00B175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8F9" w14:textId="77777777" w:rsidR="000914E0" w:rsidRDefault="000914E0" w:rsidP="000F1356">
      <w:r>
        <w:separator/>
      </w:r>
    </w:p>
  </w:endnote>
  <w:endnote w:type="continuationSeparator" w:id="0">
    <w:p w14:paraId="10D56C32" w14:textId="77777777" w:rsidR="000914E0" w:rsidRDefault="000914E0" w:rsidP="000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801564"/>
      <w:docPartObj>
        <w:docPartGallery w:val="Page Numbers (Bottom of Page)"/>
        <w:docPartUnique/>
      </w:docPartObj>
    </w:sdtPr>
    <w:sdtEndPr/>
    <w:sdtContent>
      <w:p w14:paraId="01811A4B" w14:textId="65F01A88" w:rsidR="000B4106" w:rsidRDefault="000B41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2E90747" w14:textId="77777777" w:rsidR="000B4106" w:rsidRDefault="000B41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212D" w14:textId="77777777" w:rsidR="000914E0" w:rsidRDefault="000914E0" w:rsidP="000F1356">
      <w:r>
        <w:separator/>
      </w:r>
    </w:p>
  </w:footnote>
  <w:footnote w:type="continuationSeparator" w:id="0">
    <w:p w14:paraId="5C7AA5DE" w14:textId="77777777" w:rsidR="000914E0" w:rsidRDefault="000914E0" w:rsidP="000F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E4"/>
    <w:rsid w:val="00010B43"/>
    <w:rsid w:val="00012BB6"/>
    <w:rsid w:val="0002073F"/>
    <w:rsid w:val="00022749"/>
    <w:rsid w:val="00024927"/>
    <w:rsid w:val="00027F52"/>
    <w:rsid w:val="00071EA0"/>
    <w:rsid w:val="000914E0"/>
    <w:rsid w:val="000A40A5"/>
    <w:rsid w:val="000A5E06"/>
    <w:rsid w:val="000B4106"/>
    <w:rsid w:val="000E4289"/>
    <w:rsid w:val="000F1356"/>
    <w:rsid w:val="000F3B8F"/>
    <w:rsid w:val="00102055"/>
    <w:rsid w:val="001347E8"/>
    <w:rsid w:val="00142EDC"/>
    <w:rsid w:val="001646AC"/>
    <w:rsid w:val="001778EE"/>
    <w:rsid w:val="001933A3"/>
    <w:rsid w:val="00194101"/>
    <w:rsid w:val="001B07BA"/>
    <w:rsid w:val="001C43A0"/>
    <w:rsid w:val="001D1362"/>
    <w:rsid w:val="001D42AD"/>
    <w:rsid w:val="001D7981"/>
    <w:rsid w:val="002035F3"/>
    <w:rsid w:val="00243027"/>
    <w:rsid w:val="00255BD7"/>
    <w:rsid w:val="00256754"/>
    <w:rsid w:val="00262A43"/>
    <w:rsid w:val="00266763"/>
    <w:rsid w:val="002914DF"/>
    <w:rsid w:val="0029245C"/>
    <w:rsid w:val="00296170"/>
    <w:rsid w:val="002B772E"/>
    <w:rsid w:val="002C0F6D"/>
    <w:rsid w:val="002C1809"/>
    <w:rsid w:val="002C368A"/>
    <w:rsid w:val="002D5015"/>
    <w:rsid w:val="002E6006"/>
    <w:rsid w:val="003344F4"/>
    <w:rsid w:val="00344ADE"/>
    <w:rsid w:val="00345010"/>
    <w:rsid w:val="00350FD1"/>
    <w:rsid w:val="0036242B"/>
    <w:rsid w:val="00393D65"/>
    <w:rsid w:val="003974C2"/>
    <w:rsid w:val="003A3D49"/>
    <w:rsid w:val="003D326B"/>
    <w:rsid w:val="00404CD7"/>
    <w:rsid w:val="00424AE2"/>
    <w:rsid w:val="00454566"/>
    <w:rsid w:val="00470F27"/>
    <w:rsid w:val="00486C6C"/>
    <w:rsid w:val="004878BD"/>
    <w:rsid w:val="00511E49"/>
    <w:rsid w:val="00533724"/>
    <w:rsid w:val="00540B09"/>
    <w:rsid w:val="00553E01"/>
    <w:rsid w:val="00554226"/>
    <w:rsid w:val="005801D9"/>
    <w:rsid w:val="0058032C"/>
    <w:rsid w:val="00585028"/>
    <w:rsid w:val="005B06C8"/>
    <w:rsid w:val="005D71F8"/>
    <w:rsid w:val="005E0869"/>
    <w:rsid w:val="005E3971"/>
    <w:rsid w:val="005E4DEF"/>
    <w:rsid w:val="005F3B2D"/>
    <w:rsid w:val="00604CB0"/>
    <w:rsid w:val="00653D3E"/>
    <w:rsid w:val="00667B33"/>
    <w:rsid w:val="006C51DD"/>
    <w:rsid w:val="006F1346"/>
    <w:rsid w:val="00712075"/>
    <w:rsid w:val="0071533D"/>
    <w:rsid w:val="007422FA"/>
    <w:rsid w:val="00750F7C"/>
    <w:rsid w:val="007572EF"/>
    <w:rsid w:val="007746DB"/>
    <w:rsid w:val="00775806"/>
    <w:rsid w:val="00785CE4"/>
    <w:rsid w:val="007C132E"/>
    <w:rsid w:val="007E7C4F"/>
    <w:rsid w:val="007F0F2A"/>
    <w:rsid w:val="00805F1C"/>
    <w:rsid w:val="00836897"/>
    <w:rsid w:val="00862D63"/>
    <w:rsid w:val="008B69F3"/>
    <w:rsid w:val="008C1027"/>
    <w:rsid w:val="008F5F52"/>
    <w:rsid w:val="009219BA"/>
    <w:rsid w:val="00937B91"/>
    <w:rsid w:val="00966E13"/>
    <w:rsid w:val="009A7EA1"/>
    <w:rsid w:val="009F6628"/>
    <w:rsid w:val="00A05146"/>
    <w:rsid w:val="00A07DAD"/>
    <w:rsid w:val="00A2138F"/>
    <w:rsid w:val="00A60267"/>
    <w:rsid w:val="00A64186"/>
    <w:rsid w:val="00A72193"/>
    <w:rsid w:val="00A75E6E"/>
    <w:rsid w:val="00A904C8"/>
    <w:rsid w:val="00AF18D4"/>
    <w:rsid w:val="00B175E4"/>
    <w:rsid w:val="00B76A9D"/>
    <w:rsid w:val="00B94010"/>
    <w:rsid w:val="00BC52A8"/>
    <w:rsid w:val="00BC73A4"/>
    <w:rsid w:val="00BD3613"/>
    <w:rsid w:val="00C007CF"/>
    <w:rsid w:val="00C147C1"/>
    <w:rsid w:val="00C367F5"/>
    <w:rsid w:val="00C36A8A"/>
    <w:rsid w:val="00CA12F4"/>
    <w:rsid w:val="00CB4563"/>
    <w:rsid w:val="00CC1C40"/>
    <w:rsid w:val="00CE1D0D"/>
    <w:rsid w:val="00D42796"/>
    <w:rsid w:val="00D670E0"/>
    <w:rsid w:val="00DE03DE"/>
    <w:rsid w:val="00E074A9"/>
    <w:rsid w:val="00E2112D"/>
    <w:rsid w:val="00E422C1"/>
    <w:rsid w:val="00E60E6C"/>
    <w:rsid w:val="00E83B90"/>
    <w:rsid w:val="00E95A89"/>
    <w:rsid w:val="00EA3FB2"/>
    <w:rsid w:val="00EA6C31"/>
    <w:rsid w:val="00EC33CD"/>
    <w:rsid w:val="00EC6BF3"/>
    <w:rsid w:val="00ED5559"/>
    <w:rsid w:val="00EE0786"/>
    <w:rsid w:val="00EF2240"/>
    <w:rsid w:val="00EF2F35"/>
    <w:rsid w:val="00F24FFA"/>
    <w:rsid w:val="00F42ED8"/>
    <w:rsid w:val="00F50E61"/>
    <w:rsid w:val="00F703C1"/>
    <w:rsid w:val="00F76A8F"/>
    <w:rsid w:val="00F96CFB"/>
    <w:rsid w:val="00F97CEB"/>
    <w:rsid w:val="00FA4693"/>
    <w:rsid w:val="00FA4BF5"/>
    <w:rsid w:val="00FB6599"/>
    <w:rsid w:val="00FD1680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415D7B"/>
  <w15:docId w15:val="{B31944F0-CE12-42A2-9B5F-0A80564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5E4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1DD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75E4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B175E4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B175E4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B175E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175E4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B175E4"/>
    <w:pPr>
      <w:ind w:firstLineChars="200" w:firstLine="420"/>
    </w:pPr>
    <w:rPr>
      <w:rFonts w:eastAsia="宋体"/>
      <w:szCs w:val="22"/>
    </w:rPr>
  </w:style>
  <w:style w:type="paragraph" w:customStyle="1" w:styleId="HTSSCONTENT">
    <w:name w:val="HT_SS_CONTENT"/>
    <w:rsid w:val="00B175E4"/>
    <w:pPr>
      <w:spacing w:line="280" w:lineRule="exact"/>
    </w:pPr>
    <w:rPr>
      <w:rFonts w:ascii="Arial" w:eastAsia="楷体" w:hAnsi="Arial"/>
      <w:color w:val="000000"/>
    </w:rPr>
  </w:style>
  <w:style w:type="character" w:customStyle="1" w:styleId="ac">
    <w:name w:val="页眉 字符"/>
    <w:basedOn w:val="a0"/>
    <w:link w:val="ab"/>
    <w:uiPriority w:val="99"/>
    <w:rsid w:val="00B175E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75E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B175E4"/>
    <w:rPr>
      <w:rFonts w:ascii="Calibri" w:eastAsia="微软雅黑" w:hAnsi="Calibri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rsid w:val="00B175E4"/>
    <w:rPr>
      <w:rFonts w:ascii="Calibri" w:eastAsia="微软雅黑" w:hAnsi="Calibri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B175E4"/>
    <w:rPr>
      <w:rFonts w:ascii="Calibri" w:eastAsia="微软雅黑" w:hAnsi="Calibri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175E4"/>
    <w:rPr>
      <w:rFonts w:ascii="Cambria" w:eastAsia="宋体" w:hAnsi="Cambria" w:cs="黑体"/>
      <w:b/>
      <w:bCs/>
      <w:sz w:val="32"/>
      <w:szCs w:val="32"/>
    </w:rPr>
  </w:style>
  <w:style w:type="paragraph" w:customStyle="1" w:styleId="21">
    <w:name w:val="列出段落2"/>
    <w:basedOn w:val="a"/>
    <w:uiPriority w:val="34"/>
    <w:qFormat/>
    <w:rsid w:val="00B175E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C51D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rsid w:val="00C36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29CB7-E857-442E-AC35-025931E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357</Words>
  <Characters>2039</Characters>
  <Application>Microsoft Office Word</Application>
  <DocSecurity>0</DocSecurity>
  <Lines>16</Lines>
  <Paragraphs>4</Paragraphs>
  <ScaleCrop>false</ScaleCrop>
  <Company>P R 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瑞丰银行</dc:title>
  <dc:creator>Windows 用户</dc:creator>
  <cp:lastModifiedBy>汤银</cp:lastModifiedBy>
  <cp:revision>14</cp:revision>
  <cp:lastPrinted>2021-09-15T02:48:00Z</cp:lastPrinted>
  <dcterms:created xsi:type="dcterms:W3CDTF">2021-09-15T01:16:00Z</dcterms:created>
  <dcterms:modified xsi:type="dcterms:W3CDTF">2021-09-15T06:22:00Z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